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0A" w:rsidRPr="00CC1943" w:rsidRDefault="00AA2059">
      <w:pPr>
        <w:spacing w:before="0" w:after="200" w:line="276" w:lineRule="auto"/>
        <w:jc w:val="left"/>
      </w:pPr>
      <w:bookmarkStart w:id="0" w:name="_Toc343088790"/>
      <w:bookmarkStart w:id="1" w:name="_Toc343094722"/>
      <w:r>
        <w:rPr>
          <w:noProof/>
        </w:rPr>
        <w:drawing>
          <wp:anchor distT="0" distB="0" distL="114300" distR="114300" simplePos="0" relativeHeight="251662336" behindDoc="0" locked="0" layoutInCell="1" allowOverlap="1">
            <wp:simplePos x="0" y="0"/>
            <wp:positionH relativeFrom="column">
              <wp:posOffset>-1070610</wp:posOffset>
            </wp:positionH>
            <wp:positionV relativeFrom="paragraph">
              <wp:posOffset>-3162300</wp:posOffset>
            </wp:positionV>
            <wp:extent cx="7172325" cy="1014349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demand-and-supply-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2325" cy="10143490"/>
                    </a:xfrm>
                    <a:prstGeom prst="rect">
                      <a:avLst/>
                    </a:prstGeom>
                  </pic:spPr>
                </pic:pic>
              </a:graphicData>
            </a:graphic>
            <wp14:sizeRelH relativeFrom="margin">
              <wp14:pctWidth>0</wp14:pctWidth>
            </wp14:sizeRelH>
            <wp14:sizeRelV relativeFrom="margin">
              <wp14:pctHeight>0</wp14:pctHeight>
            </wp14:sizeRelV>
          </wp:anchor>
        </w:drawing>
      </w:r>
    </w:p>
    <w:p w:rsidR="00F866C3" w:rsidRPr="00CC1943" w:rsidRDefault="00F866C3">
      <w:pPr>
        <w:spacing w:before="0" w:after="200" w:line="276" w:lineRule="auto"/>
        <w:jc w:val="left"/>
        <w:sectPr w:rsidR="00F866C3" w:rsidRPr="00CC1943" w:rsidSect="009252B5">
          <w:footerReference w:type="even" r:id="rId10"/>
          <w:footerReference w:type="default" r:id="rId11"/>
          <w:headerReference w:type="first" r:id="rId12"/>
          <w:footerReference w:type="first" r:id="rId13"/>
          <w:endnotePr>
            <w:numFmt w:val="decimal"/>
          </w:endnotePr>
          <w:pgSz w:w="11907" w:h="16840" w:code="9"/>
          <w:pgMar w:top="5670" w:right="1418" w:bottom="1134" w:left="1418" w:header="709" w:footer="709" w:gutter="567"/>
          <w:cols w:space="708"/>
          <w:titlePg/>
          <w:docGrid w:linePitch="360"/>
        </w:sectPr>
      </w:pPr>
    </w:p>
    <w:p w:rsidR="0040640A" w:rsidRDefault="0040640A" w:rsidP="0040640A">
      <w:pPr>
        <w:pStyle w:val="Imprint"/>
      </w:pPr>
    </w:p>
    <w:p w:rsidR="009513A7" w:rsidRPr="00CC1943" w:rsidRDefault="009513A7" w:rsidP="0040640A">
      <w:pPr>
        <w:pStyle w:val="Imprint"/>
      </w:pPr>
    </w:p>
    <w:p w:rsidR="0040640A" w:rsidRPr="00CC1943" w:rsidRDefault="0040640A" w:rsidP="00E31F2C">
      <w:pPr>
        <w:pStyle w:val="Imprint"/>
        <w:spacing w:after="120"/>
      </w:pPr>
      <w:r w:rsidRPr="00CC1943">
        <w:t xml:space="preserve">This </w:t>
      </w:r>
      <w:r w:rsidR="0057636C">
        <w:t>document</w:t>
      </w:r>
      <w:r w:rsidRPr="00CC1943">
        <w:t xml:space="preserve"> may be cited as:</w:t>
      </w:r>
      <w:r w:rsidR="009E0C89">
        <w:t xml:space="preserve"> Ministry for the Environment, 2016. </w:t>
      </w:r>
      <w:proofErr w:type="gramStart"/>
      <w:r w:rsidR="009E0C89" w:rsidRPr="009E0C89">
        <w:rPr>
          <w:i/>
        </w:rPr>
        <w:t xml:space="preserve">How </w:t>
      </w:r>
      <w:r w:rsidR="006376AD">
        <w:rPr>
          <w:i/>
        </w:rPr>
        <w:t>Councils E</w:t>
      </w:r>
      <w:r w:rsidR="009E0C89" w:rsidRPr="009E0C89">
        <w:rPr>
          <w:i/>
        </w:rPr>
        <w:t xml:space="preserve">stimate </w:t>
      </w:r>
      <w:r w:rsidR="006376AD">
        <w:rPr>
          <w:i/>
        </w:rPr>
        <w:t>D</w:t>
      </w:r>
      <w:r w:rsidR="009E0C89" w:rsidRPr="009E0C89">
        <w:rPr>
          <w:i/>
        </w:rPr>
        <w:t xml:space="preserve">emand and </w:t>
      </w:r>
      <w:r w:rsidR="006376AD">
        <w:rPr>
          <w:i/>
        </w:rPr>
        <w:t>S</w:t>
      </w:r>
      <w:r w:rsidR="009E0C89" w:rsidRPr="009E0C89">
        <w:rPr>
          <w:i/>
        </w:rPr>
        <w:t xml:space="preserve">upply of </w:t>
      </w:r>
      <w:r w:rsidR="006376AD">
        <w:rPr>
          <w:i/>
        </w:rPr>
        <w:t>D</w:t>
      </w:r>
      <w:r w:rsidR="009E0C89" w:rsidRPr="009E0C89">
        <w:rPr>
          <w:i/>
        </w:rPr>
        <w:t xml:space="preserve">evelopment </w:t>
      </w:r>
      <w:r w:rsidR="006376AD">
        <w:rPr>
          <w:i/>
        </w:rPr>
        <w:t>C</w:t>
      </w:r>
      <w:r w:rsidR="009E0C89" w:rsidRPr="009E0C89">
        <w:rPr>
          <w:i/>
        </w:rPr>
        <w:t xml:space="preserve">apacity for </w:t>
      </w:r>
      <w:r w:rsidR="006376AD">
        <w:rPr>
          <w:i/>
        </w:rPr>
        <w:t>H</w:t>
      </w:r>
      <w:r w:rsidR="009E0C89" w:rsidRPr="009E0C89">
        <w:rPr>
          <w:i/>
        </w:rPr>
        <w:t xml:space="preserve">ousing and </w:t>
      </w:r>
      <w:r w:rsidR="006376AD">
        <w:rPr>
          <w:i/>
        </w:rPr>
        <w:t>B</w:t>
      </w:r>
      <w:r w:rsidR="009E0C89" w:rsidRPr="009E0C89">
        <w:rPr>
          <w:i/>
        </w:rPr>
        <w:t>usiness</w:t>
      </w:r>
      <w:r w:rsidR="009E0C89">
        <w:t>.</w:t>
      </w:r>
      <w:proofErr w:type="gramEnd"/>
      <w:r w:rsidR="009E0C89">
        <w:t xml:space="preserve"> Ministry for the Environment: Wellington</w:t>
      </w:r>
    </w:p>
    <w:p w:rsidR="0040640A" w:rsidRPr="00CC1943" w:rsidRDefault="0040640A" w:rsidP="0040640A">
      <w:pPr>
        <w:pStyle w:val="Imprint"/>
      </w:pPr>
    </w:p>
    <w:p w:rsidR="0040640A" w:rsidRPr="00CC1943" w:rsidRDefault="0040640A" w:rsidP="0040640A">
      <w:pPr>
        <w:pStyle w:val="Imprint"/>
      </w:pPr>
    </w:p>
    <w:p w:rsidR="0040640A" w:rsidRPr="00CC1943" w:rsidRDefault="0040640A" w:rsidP="0040640A">
      <w:pPr>
        <w:pStyle w:val="Imprint"/>
      </w:pPr>
    </w:p>
    <w:p w:rsidR="0040640A" w:rsidRPr="00CC1943" w:rsidRDefault="0040640A" w:rsidP="0040640A">
      <w:pPr>
        <w:pStyle w:val="Imprint"/>
      </w:pPr>
    </w:p>
    <w:p w:rsidR="0040640A" w:rsidRDefault="0040640A" w:rsidP="0040640A">
      <w:pPr>
        <w:pStyle w:val="Imprint"/>
      </w:pPr>
    </w:p>
    <w:p w:rsidR="00E31F2C" w:rsidRDefault="00E31F2C" w:rsidP="0040640A">
      <w:pPr>
        <w:pStyle w:val="Imprint"/>
      </w:pPr>
    </w:p>
    <w:p w:rsidR="00E31F2C" w:rsidRDefault="00E31F2C" w:rsidP="0040640A">
      <w:pPr>
        <w:pStyle w:val="Imprint"/>
      </w:pPr>
    </w:p>
    <w:p w:rsidR="00E31F2C" w:rsidRDefault="00E31F2C" w:rsidP="0040640A">
      <w:pPr>
        <w:pStyle w:val="Imprint"/>
      </w:pPr>
    </w:p>
    <w:p w:rsidR="00761C37" w:rsidRDefault="00761C37" w:rsidP="0040640A">
      <w:pPr>
        <w:pStyle w:val="Imprint"/>
      </w:pPr>
    </w:p>
    <w:p w:rsidR="00761C37" w:rsidRDefault="00761C37" w:rsidP="0040640A">
      <w:pPr>
        <w:pStyle w:val="Imprint"/>
      </w:pPr>
    </w:p>
    <w:p w:rsidR="00761C37" w:rsidRDefault="00761C37" w:rsidP="0040640A">
      <w:pPr>
        <w:pStyle w:val="Imprint"/>
      </w:pPr>
    </w:p>
    <w:p w:rsidR="00761C37" w:rsidRDefault="00761C37" w:rsidP="0040640A">
      <w:pPr>
        <w:pStyle w:val="Imprint"/>
      </w:pPr>
    </w:p>
    <w:p w:rsidR="00E31F2C" w:rsidRDefault="00E31F2C" w:rsidP="0040640A">
      <w:pPr>
        <w:pStyle w:val="Imprint"/>
      </w:pPr>
    </w:p>
    <w:p w:rsidR="00CA46E7" w:rsidRPr="00CC1943" w:rsidRDefault="00CA46E7" w:rsidP="0040640A">
      <w:pPr>
        <w:pStyle w:val="Imprint"/>
      </w:pPr>
    </w:p>
    <w:p w:rsidR="0040640A" w:rsidRPr="00CC1943" w:rsidRDefault="0040640A" w:rsidP="0040640A">
      <w:pPr>
        <w:pStyle w:val="Imprint"/>
      </w:pPr>
    </w:p>
    <w:p w:rsidR="0040640A" w:rsidRPr="00CC1943" w:rsidRDefault="0040640A" w:rsidP="0040640A">
      <w:pPr>
        <w:pStyle w:val="Imprint"/>
      </w:pPr>
      <w:r w:rsidRPr="00CC1943">
        <w:t xml:space="preserve">Published in </w:t>
      </w:r>
      <w:r w:rsidR="00761C37">
        <w:t>July 2016</w:t>
      </w:r>
      <w:r w:rsidRPr="00CC1943">
        <w:t xml:space="preserve"> by the</w:t>
      </w:r>
      <w:r w:rsidRPr="00CC1943">
        <w:br/>
        <w:t xml:space="preserve">Ministry for the Environment </w:t>
      </w:r>
      <w:r w:rsidRPr="00CC1943">
        <w:br/>
      </w:r>
      <w:proofErr w:type="spellStart"/>
      <w:r w:rsidRPr="00CC1943">
        <w:t>Manatū</w:t>
      </w:r>
      <w:proofErr w:type="spellEnd"/>
      <w:r w:rsidRPr="00CC1943">
        <w:t xml:space="preserve"> </w:t>
      </w:r>
      <w:proofErr w:type="spellStart"/>
      <w:r w:rsidRPr="00CC1943">
        <w:t>Mō</w:t>
      </w:r>
      <w:proofErr w:type="spellEnd"/>
      <w:r w:rsidRPr="00CC1943">
        <w:t xml:space="preserve"> </w:t>
      </w:r>
      <w:proofErr w:type="spellStart"/>
      <w:r w:rsidRPr="00CC1943">
        <w:t>Te</w:t>
      </w:r>
      <w:proofErr w:type="spellEnd"/>
      <w:r w:rsidRPr="00CC1943">
        <w:t xml:space="preserve"> </w:t>
      </w:r>
      <w:proofErr w:type="spellStart"/>
      <w:r w:rsidRPr="00CC1943">
        <w:t>Taiao</w:t>
      </w:r>
      <w:proofErr w:type="spellEnd"/>
      <w:r w:rsidRPr="00CC1943">
        <w:br/>
        <w:t>PO Box 10362, Wellington 6143, New Zealand</w:t>
      </w:r>
    </w:p>
    <w:p w:rsidR="0040640A" w:rsidRPr="00CC1943" w:rsidRDefault="00CA46E7" w:rsidP="00CA46E7">
      <w:pPr>
        <w:pStyle w:val="Imprint"/>
        <w:spacing w:before="240"/>
      </w:pPr>
      <w:r>
        <w:t>ISBN: 978-0-908339-46-4</w:t>
      </w:r>
      <w:r>
        <w:br/>
      </w:r>
      <w:r w:rsidR="0040640A" w:rsidRPr="00CC1943">
        <w:t xml:space="preserve">Publication number: </w:t>
      </w:r>
      <w:r w:rsidR="007A3A9B" w:rsidRPr="00661232">
        <w:t xml:space="preserve">ME </w:t>
      </w:r>
      <w:r w:rsidR="00661232">
        <w:t>1249</w:t>
      </w:r>
    </w:p>
    <w:p w:rsidR="0040640A" w:rsidRPr="00CC1943" w:rsidRDefault="0040640A" w:rsidP="0040640A">
      <w:pPr>
        <w:pStyle w:val="Imprint"/>
      </w:pPr>
      <w:r w:rsidRPr="00CC1943">
        <w:t xml:space="preserve">© Crown copyright New Zealand </w:t>
      </w:r>
      <w:r w:rsidR="00761C37">
        <w:t>2016</w:t>
      </w:r>
    </w:p>
    <w:p w:rsidR="0040640A" w:rsidRPr="007A3A9B" w:rsidRDefault="0040640A" w:rsidP="0040640A">
      <w:pPr>
        <w:pStyle w:val="Imprint"/>
        <w:spacing w:before="240"/>
      </w:pPr>
      <w:r w:rsidRPr="00CC1943">
        <w:t>This document is available on the Ministry for the Environment’s website</w:t>
      </w:r>
      <w:proofErr w:type="gramStart"/>
      <w:r w:rsidRPr="00CC1943">
        <w:t>:</w:t>
      </w:r>
      <w:proofErr w:type="gramEnd"/>
      <w:r w:rsidRPr="00CC1943">
        <w:br/>
      </w:r>
      <w:hyperlink r:id="rId14" w:history="1">
        <w:r w:rsidRPr="007A3A9B">
          <w:rPr>
            <w:rStyle w:val="Hyperlink"/>
            <w:color w:val="auto"/>
            <w:u w:val="none"/>
          </w:rPr>
          <w:t>www.mfe.govt.nz</w:t>
        </w:r>
      </w:hyperlink>
      <w:r w:rsidR="00375116">
        <w:rPr>
          <w:rStyle w:val="Hyperlink"/>
          <w:color w:val="auto"/>
          <w:u w:val="none"/>
        </w:rPr>
        <w:t>.</w:t>
      </w:r>
    </w:p>
    <w:p w:rsidR="0040640A" w:rsidRPr="00CC1943" w:rsidRDefault="0040640A" w:rsidP="0040640A">
      <w:pPr>
        <w:spacing w:before="0" w:after="0"/>
        <w:jc w:val="left"/>
      </w:pPr>
      <w:r w:rsidRPr="00CC1943">
        <w:rPr>
          <w:noProof/>
        </w:rPr>
        <w:drawing>
          <wp:inline distT="0" distB="0" distL="0" distR="0" wp14:anchorId="2E3B4146" wp14:editId="3243D387">
            <wp:extent cx="1965325" cy="614045"/>
            <wp:effectExtent l="19050" t="0" r="0" b="0"/>
            <wp:docPr id="6" name="Picture 1" descr="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Logo"/>
                    <pic:cNvPicPr>
                      <a:picLocks noChangeAspect="1" noChangeArrowheads="1"/>
                    </pic:cNvPicPr>
                  </pic:nvPicPr>
                  <pic:blipFill>
                    <a:blip r:embed="rId15" cstate="print"/>
                    <a:srcRect/>
                    <a:stretch>
                      <a:fillRect/>
                    </a:stretch>
                  </pic:blipFill>
                  <pic:spPr bwMode="auto">
                    <a:xfrm>
                      <a:off x="0" y="0"/>
                      <a:ext cx="1965325" cy="614045"/>
                    </a:xfrm>
                    <a:prstGeom prst="rect">
                      <a:avLst/>
                    </a:prstGeom>
                    <a:noFill/>
                    <a:ln w="9525">
                      <a:noFill/>
                      <a:miter lim="800000"/>
                      <a:headEnd/>
                      <a:tailEnd/>
                    </a:ln>
                  </pic:spPr>
                </pic:pic>
              </a:graphicData>
            </a:graphic>
          </wp:inline>
        </w:drawing>
      </w:r>
    </w:p>
    <w:p w:rsidR="0040640A" w:rsidRPr="00CC1943" w:rsidRDefault="0040640A" w:rsidP="0040640A">
      <w:pPr>
        <w:spacing w:before="0" w:after="0"/>
        <w:sectPr w:rsidR="0040640A" w:rsidRPr="00CC1943" w:rsidSect="006B491E">
          <w:footerReference w:type="even" r:id="rId16"/>
          <w:pgSz w:w="11907" w:h="16840" w:code="9"/>
          <w:pgMar w:top="1134" w:right="1418" w:bottom="1134" w:left="1418" w:header="567" w:footer="567" w:gutter="567"/>
          <w:pgNumType w:fmt="lowerRoman"/>
          <w:cols w:space="720"/>
        </w:sectPr>
      </w:pPr>
    </w:p>
    <w:p w:rsidR="0040640A" w:rsidRPr="00BD09FA" w:rsidRDefault="0028608B" w:rsidP="004E44DD">
      <w:pPr>
        <w:pStyle w:val="Heading"/>
        <w:rPr>
          <w:sz w:val="48"/>
        </w:rPr>
      </w:pPr>
      <w:r w:rsidRPr="00BD09FA">
        <w:rPr>
          <w:sz w:val="48"/>
        </w:rPr>
        <w:lastRenderedPageBreak/>
        <w:t>C</w:t>
      </w:r>
      <w:r w:rsidR="0040640A" w:rsidRPr="00BD09FA">
        <w:rPr>
          <w:sz w:val="48"/>
        </w:rPr>
        <w:t>ontents</w:t>
      </w:r>
    </w:p>
    <w:p w:rsidR="00101428" w:rsidRDefault="00632707">
      <w:pPr>
        <w:pStyle w:val="TOC1"/>
        <w:rPr>
          <w:rFonts w:asciiTheme="minorHAnsi" w:hAnsiTheme="minorHAnsi"/>
          <w:noProof/>
        </w:rPr>
      </w:pPr>
      <w:r w:rsidRPr="00CC1943">
        <w:fldChar w:fldCharType="begin"/>
      </w:r>
      <w:r w:rsidRPr="00CC1943">
        <w:instrText xml:space="preserve"> TOC \o "2-2" \t "Heading 1,1,Heading 1 - light brown,1" </w:instrText>
      </w:r>
      <w:r w:rsidRPr="00CC1943">
        <w:fldChar w:fldCharType="separate"/>
      </w:r>
      <w:r w:rsidR="00101428">
        <w:rPr>
          <w:noProof/>
        </w:rPr>
        <w:t>1.</w:t>
      </w:r>
      <w:r w:rsidR="00101428">
        <w:rPr>
          <w:rFonts w:asciiTheme="minorHAnsi" w:hAnsiTheme="minorHAnsi"/>
          <w:noProof/>
        </w:rPr>
        <w:tab/>
      </w:r>
      <w:r w:rsidR="00101428">
        <w:rPr>
          <w:noProof/>
        </w:rPr>
        <w:t>Executive summary</w:t>
      </w:r>
      <w:r w:rsidR="00101428">
        <w:rPr>
          <w:noProof/>
        </w:rPr>
        <w:tab/>
      </w:r>
      <w:r w:rsidR="00101428">
        <w:rPr>
          <w:noProof/>
        </w:rPr>
        <w:fldChar w:fldCharType="begin"/>
      </w:r>
      <w:r w:rsidR="00101428">
        <w:rPr>
          <w:noProof/>
        </w:rPr>
        <w:instrText xml:space="preserve"> PAGEREF _Toc455410507 \h </w:instrText>
      </w:r>
      <w:r w:rsidR="00101428">
        <w:rPr>
          <w:noProof/>
        </w:rPr>
      </w:r>
      <w:r w:rsidR="00101428">
        <w:rPr>
          <w:noProof/>
        </w:rPr>
        <w:fldChar w:fldCharType="separate"/>
      </w:r>
      <w:r w:rsidR="000D2101">
        <w:rPr>
          <w:noProof/>
        </w:rPr>
        <w:t>5</w:t>
      </w:r>
      <w:r w:rsidR="00101428">
        <w:rPr>
          <w:noProof/>
        </w:rPr>
        <w:fldChar w:fldCharType="end"/>
      </w:r>
    </w:p>
    <w:p w:rsidR="00101428" w:rsidRDefault="00101428">
      <w:pPr>
        <w:pStyle w:val="TOC1"/>
        <w:rPr>
          <w:rFonts w:asciiTheme="minorHAnsi" w:hAnsiTheme="minorHAnsi"/>
          <w:noProof/>
        </w:rPr>
      </w:pPr>
      <w:r>
        <w:rPr>
          <w:noProof/>
        </w:rPr>
        <w:t>2.</w:t>
      </w:r>
      <w:r>
        <w:rPr>
          <w:rFonts w:asciiTheme="minorHAnsi" w:hAnsiTheme="minorHAnsi"/>
          <w:noProof/>
        </w:rPr>
        <w:tab/>
      </w:r>
      <w:r>
        <w:rPr>
          <w:noProof/>
        </w:rPr>
        <w:t>Introduction</w:t>
      </w:r>
      <w:r>
        <w:rPr>
          <w:noProof/>
        </w:rPr>
        <w:tab/>
      </w:r>
      <w:r>
        <w:rPr>
          <w:noProof/>
        </w:rPr>
        <w:fldChar w:fldCharType="begin"/>
      </w:r>
      <w:r>
        <w:rPr>
          <w:noProof/>
        </w:rPr>
        <w:instrText xml:space="preserve"> PAGEREF _Toc455410508 \h </w:instrText>
      </w:r>
      <w:r>
        <w:rPr>
          <w:noProof/>
        </w:rPr>
      </w:r>
      <w:r>
        <w:rPr>
          <w:noProof/>
        </w:rPr>
        <w:fldChar w:fldCharType="separate"/>
      </w:r>
      <w:r w:rsidR="000D2101">
        <w:rPr>
          <w:noProof/>
        </w:rPr>
        <w:t>7</w:t>
      </w:r>
      <w:r>
        <w:rPr>
          <w:noProof/>
        </w:rPr>
        <w:fldChar w:fldCharType="end"/>
      </w:r>
    </w:p>
    <w:p w:rsidR="00101428" w:rsidRDefault="00101428">
      <w:pPr>
        <w:pStyle w:val="TOC2"/>
        <w:tabs>
          <w:tab w:val="left" w:pos="1100"/>
        </w:tabs>
        <w:rPr>
          <w:rFonts w:asciiTheme="minorHAnsi" w:hAnsiTheme="minorHAnsi"/>
        </w:rPr>
      </w:pPr>
      <w:r>
        <w:t>2.1</w:t>
      </w:r>
      <w:r>
        <w:rPr>
          <w:rFonts w:asciiTheme="minorHAnsi" w:hAnsiTheme="minorHAnsi"/>
        </w:rPr>
        <w:tab/>
      </w:r>
      <w:r>
        <w:t>Information sources and attribution</w:t>
      </w:r>
      <w:r>
        <w:tab/>
      </w:r>
      <w:r>
        <w:fldChar w:fldCharType="begin"/>
      </w:r>
      <w:r>
        <w:instrText xml:space="preserve"> PAGEREF _Toc455410509 \h </w:instrText>
      </w:r>
      <w:r>
        <w:fldChar w:fldCharType="separate"/>
      </w:r>
      <w:r w:rsidR="000D2101">
        <w:t>8</w:t>
      </w:r>
      <w:r>
        <w:fldChar w:fldCharType="end"/>
      </w:r>
    </w:p>
    <w:p w:rsidR="00101428" w:rsidRDefault="00101428">
      <w:pPr>
        <w:pStyle w:val="TOC1"/>
        <w:rPr>
          <w:rFonts w:asciiTheme="minorHAnsi" w:hAnsiTheme="minorHAnsi"/>
          <w:noProof/>
        </w:rPr>
      </w:pPr>
      <w:r>
        <w:rPr>
          <w:noProof/>
        </w:rPr>
        <w:t>3.</w:t>
      </w:r>
      <w:r>
        <w:rPr>
          <w:rFonts w:asciiTheme="minorHAnsi" w:hAnsiTheme="minorHAnsi"/>
          <w:noProof/>
        </w:rPr>
        <w:tab/>
      </w:r>
      <w:r>
        <w:rPr>
          <w:noProof/>
        </w:rPr>
        <w:t>Definitions</w:t>
      </w:r>
      <w:r>
        <w:rPr>
          <w:noProof/>
        </w:rPr>
        <w:tab/>
      </w:r>
      <w:r>
        <w:rPr>
          <w:noProof/>
        </w:rPr>
        <w:fldChar w:fldCharType="begin"/>
      </w:r>
      <w:r>
        <w:rPr>
          <w:noProof/>
        </w:rPr>
        <w:instrText xml:space="preserve"> PAGEREF _Toc455410510 \h </w:instrText>
      </w:r>
      <w:r>
        <w:rPr>
          <w:noProof/>
        </w:rPr>
      </w:r>
      <w:r>
        <w:rPr>
          <w:noProof/>
        </w:rPr>
        <w:fldChar w:fldCharType="separate"/>
      </w:r>
      <w:r w:rsidR="000D2101">
        <w:rPr>
          <w:noProof/>
        </w:rPr>
        <w:t>9</w:t>
      </w:r>
      <w:r>
        <w:rPr>
          <w:noProof/>
        </w:rPr>
        <w:fldChar w:fldCharType="end"/>
      </w:r>
    </w:p>
    <w:p w:rsidR="00101428" w:rsidRDefault="00101428">
      <w:pPr>
        <w:pStyle w:val="TOC1"/>
        <w:rPr>
          <w:rFonts w:asciiTheme="minorHAnsi" w:hAnsiTheme="minorHAnsi"/>
          <w:noProof/>
        </w:rPr>
      </w:pPr>
      <w:r>
        <w:rPr>
          <w:noProof/>
        </w:rPr>
        <w:t>4.</w:t>
      </w:r>
      <w:r>
        <w:rPr>
          <w:rFonts w:asciiTheme="minorHAnsi" w:hAnsiTheme="minorHAnsi"/>
          <w:noProof/>
        </w:rPr>
        <w:tab/>
      </w:r>
      <w:r>
        <w:rPr>
          <w:noProof/>
        </w:rPr>
        <w:t>Role of information in council decision-making</w:t>
      </w:r>
      <w:r>
        <w:rPr>
          <w:noProof/>
        </w:rPr>
        <w:tab/>
      </w:r>
      <w:r>
        <w:rPr>
          <w:noProof/>
        </w:rPr>
        <w:fldChar w:fldCharType="begin"/>
      </w:r>
      <w:r>
        <w:rPr>
          <w:noProof/>
        </w:rPr>
        <w:instrText xml:space="preserve"> PAGEREF _Toc455410511 \h </w:instrText>
      </w:r>
      <w:r>
        <w:rPr>
          <w:noProof/>
        </w:rPr>
      </w:r>
      <w:r>
        <w:rPr>
          <w:noProof/>
        </w:rPr>
        <w:fldChar w:fldCharType="separate"/>
      </w:r>
      <w:r w:rsidR="000D2101">
        <w:rPr>
          <w:noProof/>
        </w:rPr>
        <w:t>11</w:t>
      </w:r>
      <w:r>
        <w:rPr>
          <w:noProof/>
        </w:rPr>
        <w:fldChar w:fldCharType="end"/>
      </w:r>
    </w:p>
    <w:p w:rsidR="00101428" w:rsidRDefault="00101428" w:rsidP="00101428">
      <w:pPr>
        <w:pStyle w:val="TOC2"/>
        <w:tabs>
          <w:tab w:val="left" w:pos="993"/>
        </w:tabs>
        <w:rPr>
          <w:rFonts w:asciiTheme="minorHAnsi" w:hAnsiTheme="minorHAnsi"/>
        </w:rPr>
      </w:pPr>
      <w:r>
        <w:t>4.1.</w:t>
      </w:r>
      <w:r>
        <w:rPr>
          <w:rFonts w:asciiTheme="minorHAnsi" w:hAnsiTheme="minorHAnsi"/>
        </w:rPr>
        <w:tab/>
      </w:r>
      <w:r>
        <w:t>Purpose of forecasting demand and capacity for residential and business land</w:t>
      </w:r>
      <w:r>
        <w:tab/>
      </w:r>
      <w:r>
        <w:fldChar w:fldCharType="begin"/>
      </w:r>
      <w:r>
        <w:instrText xml:space="preserve"> PAGEREF _Toc455410512 \h </w:instrText>
      </w:r>
      <w:r>
        <w:fldChar w:fldCharType="separate"/>
      </w:r>
      <w:r w:rsidR="000D2101">
        <w:t>11</w:t>
      </w:r>
      <w:r>
        <w:fldChar w:fldCharType="end"/>
      </w:r>
    </w:p>
    <w:p w:rsidR="00101428" w:rsidRDefault="00101428" w:rsidP="00101428">
      <w:pPr>
        <w:pStyle w:val="TOC2"/>
        <w:tabs>
          <w:tab w:val="left" w:pos="993"/>
          <w:tab w:val="left" w:pos="1100"/>
        </w:tabs>
        <w:rPr>
          <w:rFonts w:asciiTheme="minorHAnsi" w:hAnsiTheme="minorHAnsi"/>
        </w:rPr>
      </w:pPr>
      <w:r>
        <w:t>4.2</w:t>
      </w:r>
      <w:r>
        <w:rPr>
          <w:rFonts w:asciiTheme="minorHAnsi" w:hAnsiTheme="minorHAnsi"/>
        </w:rPr>
        <w:tab/>
      </w:r>
      <w:r>
        <w:t>Quality of information translated into decisions</w:t>
      </w:r>
      <w:r>
        <w:tab/>
      </w:r>
      <w:r>
        <w:fldChar w:fldCharType="begin"/>
      </w:r>
      <w:r>
        <w:instrText xml:space="preserve"> PAGEREF _Toc455410513 \h </w:instrText>
      </w:r>
      <w:r>
        <w:fldChar w:fldCharType="separate"/>
      </w:r>
      <w:r w:rsidR="000D2101">
        <w:t>12</w:t>
      </w:r>
      <w:r>
        <w:fldChar w:fldCharType="end"/>
      </w:r>
    </w:p>
    <w:p w:rsidR="00101428" w:rsidRDefault="00101428" w:rsidP="00101428">
      <w:pPr>
        <w:pStyle w:val="TOC2"/>
        <w:tabs>
          <w:tab w:val="left" w:pos="993"/>
        </w:tabs>
        <w:rPr>
          <w:rFonts w:asciiTheme="minorHAnsi" w:hAnsiTheme="minorHAnsi"/>
        </w:rPr>
      </w:pPr>
      <w:r>
        <w:t>4.3</w:t>
      </w:r>
      <w:r>
        <w:rPr>
          <w:rFonts w:asciiTheme="minorHAnsi" w:hAnsiTheme="minorHAnsi"/>
        </w:rPr>
        <w:tab/>
      </w:r>
      <w:r>
        <w:t>Collaboration between councils that share jurisdiction over an urban area</w:t>
      </w:r>
      <w:r>
        <w:tab/>
      </w:r>
      <w:r>
        <w:fldChar w:fldCharType="begin"/>
      </w:r>
      <w:r>
        <w:instrText xml:space="preserve"> PAGEREF _Toc455410514 \h </w:instrText>
      </w:r>
      <w:r>
        <w:fldChar w:fldCharType="separate"/>
      </w:r>
      <w:r w:rsidR="000D2101">
        <w:t>13</w:t>
      </w:r>
      <w:r>
        <w:fldChar w:fldCharType="end"/>
      </w:r>
    </w:p>
    <w:p w:rsidR="00101428" w:rsidRDefault="00101428">
      <w:pPr>
        <w:pStyle w:val="TOC1"/>
        <w:rPr>
          <w:rFonts w:asciiTheme="minorHAnsi" w:hAnsiTheme="minorHAnsi"/>
          <w:noProof/>
        </w:rPr>
      </w:pPr>
      <w:r>
        <w:rPr>
          <w:noProof/>
        </w:rPr>
        <w:t>5.</w:t>
      </w:r>
      <w:r>
        <w:rPr>
          <w:rFonts w:asciiTheme="minorHAnsi" w:hAnsiTheme="minorHAnsi"/>
          <w:noProof/>
        </w:rPr>
        <w:tab/>
      </w:r>
      <w:r>
        <w:rPr>
          <w:noProof/>
        </w:rPr>
        <w:t>Residential demand forecasting</w:t>
      </w:r>
      <w:r>
        <w:rPr>
          <w:noProof/>
        </w:rPr>
        <w:tab/>
      </w:r>
      <w:r>
        <w:rPr>
          <w:noProof/>
        </w:rPr>
        <w:fldChar w:fldCharType="begin"/>
      </w:r>
      <w:r>
        <w:rPr>
          <w:noProof/>
        </w:rPr>
        <w:instrText xml:space="preserve"> PAGEREF _Toc455410515 \h </w:instrText>
      </w:r>
      <w:r>
        <w:rPr>
          <w:noProof/>
        </w:rPr>
      </w:r>
      <w:r>
        <w:rPr>
          <w:noProof/>
        </w:rPr>
        <w:fldChar w:fldCharType="separate"/>
      </w:r>
      <w:r w:rsidR="000D2101">
        <w:rPr>
          <w:noProof/>
        </w:rPr>
        <w:t>15</w:t>
      </w:r>
      <w:r>
        <w:rPr>
          <w:noProof/>
        </w:rPr>
        <w:fldChar w:fldCharType="end"/>
      </w:r>
    </w:p>
    <w:p w:rsidR="00101428" w:rsidRDefault="00101428" w:rsidP="00101428">
      <w:pPr>
        <w:pStyle w:val="TOC2"/>
        <w:tabs>
          <w:tab w:val="left" w:pos="993"/>
        </w:tabs>
        <w:rPr>
          <w:rFonts w:asciiTheme="minorHAnsi" w:hAnsiTheme="minorHAnsi"/>
        </w:rPr>
      </w:pPr>
      <w:r>
        <w:t>5.1</w:t>
      </w:r>
      <w:r>
        <w:rPr>
          <w:rFonts w:asciiTheme="minorHAnsi" w:hAnsiTheme="minorHAnsi"/>
        </w:rPr>
        <w:tab/>
      </w:r>
      <w:r>
        <w:t>Outputs</w:t>
      </w:r>
      <w:r>
        <w:tab/>
      </w:r>
      <w:r>
        <w:fldChar w:fldCharType="begin"/>
      </w:r>
      <w:r>
        <w:instrText xml:space="preserve"> PAGEREF _Toc455410516 \h </w:instrText>
      </w:r>
      <w:r>
        <w:fldChar w:fldCharType="separate"/>
      </w:r>
      <w:r w:rsidR="000D2101">
        <w:t>15</w:t>
      </w:r>
      <w:r>
        <w:fldChar w:fldCharType="end"/>
      </w:r>
    </w:p>
    <w:p w:rsidR="00101428" w:rsidRDefault="00101428" w:rsidP="00101428">
      <w:pPr>
        <w:pStyle w:val="TOC2"/>
        <w:tabs>
          <w:tab w:val="left" w:pos="993"/>
        </w:tabs>
        <w:rPr>
          <w:rFonts w:asciiTheme="minorHAnsi" w:hAnsiTheme="minorHAnsi"/>
        </w:rPr>
      </w:pPr>
      <w:r>
        <w:t>5.2</w:t>
      </w:r>
      <w:r>
        <w:rPr>
          <w:rFonts w:asciiTheme="minorHAnsi" w:hAnsiTheme="minorHAnsi"/>
        </w:rPr>
        <w:tab/>
      </w:r>
      <w:r>
        <w:t>Residential demand methodology flow chart</w:t>
      </w:r>
      <w:r>
        <w:tab/>
      </w:r>
      <w:r>
        <w:fldChar w:fldCharType="begin"/>
      </w:r>
      <w:r>
        <w:instrText xml:space="preserve"> PAGEREF _Toc455410517 \h </w:instrText>
      </w:r>
      <w:r>
        <w:fldChar w:fldCharType="separate"/>
      </w:r>
      <w:r w:rsidR="000D2101">
        <w:t>16</w:t>
      </w:r>
      <w:r>
        <w:fldChar w:fldCharType="end"/>
      </w:r>
    </w:p>
    <w:p w:rsidR="00101428" w:rsidRDefault="00101428" w:rsidP="00101428">
      <w:pPr>
        <w:pStyle w:val="TOC2"/>
        <w:tabs>
          <w:tab w:val="left" w:pos="993"/>
        </w:tabs>
        <w:rPr>
          <w:rFonts w:asciiTheme="minorHAnsi" w:hAnsiTheme="minorHAnsi"/>
        </w:rPr>
      </w:pPr>
      <w:r>
        <w:t>5.3</w:t>
      </w:r>
      <w:r>
        <w:rPr>
          <w:rFonts w:asciiTheme="minorHAnsi" w:hAnsiTheme="minorHAnsi"/>
        </w:rPr>
        <w:tab/>
      </w:r>
      <w:r>
        <w:t>Inputs: population and household growth projections</w:t>
      </w:r>
      <w:r>
        <w:tab/>
      </w:r>
      <w:r>
        <w:fldChar w:fldCharType="begin"/>
      </w:r>
      <w:r>
        <w:instrText xml:space="preserve"> PAGEREF _Toc455410518 \h </w:instrText>
      </w:r>
      <w:r>
        <w:fldChar w:fldCharType="separate"/>
      </w:r>
      <w:r w:rsidR="000D2101">
        <w:t>17</w:t>
      </w:r>
      <w:r>
        <w:fldChar w:fldCharType="end"/>
      </w:r>
    </w:p>
    <w:p w:rsidR="00101428" w:rsidRDefault="00101428" w:rsidP="00101428">
      <w:pPr>
        <w:pStyle w:val="TOC2"/>
        <w:tabs>
          <w:tab w:val="left" w:pos="993"/>
        </w:tabs>
        <w:rPr>
          <w:rFonts w:asciiTheme="minorHAnsi" w:hAnsiTheme="minorHAnsi"/>
        </w:rPr>
      </w:pPr>
      <w:r>
        <w:t>5.4</w:t>
      </w:r>
      <w:r>
        <w:rPr>
          <w:rFonts w:asciiTheme="minorHAnsi" w:hAnsiTheme="minorHAnsi"/>
        </w:rPr>
        <w:tab/>
      </w:r>
      <w:r>
        <w:t>Estimating demands for different types of dwellings</w:t>
      </w:r>
      <w:r>
        <w:tab/>
      </w:r>
      <w:r>
        <w:fldChar w:fldCharType="begin"/>
      </w:r>
      <w:r>
        <w:instrText xml:space="preserve"> PAGEREF _Toc455410519 \h </w:instrText>
      </w:r>
      <w:r>
        <w:fldChar w:fldCharType="separate"/>
      </w:r>
      <w:r w:rsidR="000D2101">
        <w:t>18</w:t>
      </w:r>
      <w:r>
        <w:fldChar w:fldCharType="end"/>
      </w:r>
    </w:p>
    <w:p w:rsidR="00101428" w:rsidRDefault="00101428" w:rsidP="00101428">
      <w:pPr>
        <w:pStyle w:val="TOC2"/>
        <w:tabs>
          <w:tab w:val="left" w:pos="993"/>
        </w:tabs>
        <w:rPr>
          <w:rFonts w:asciiTheme="minorHAnsi" w:hAnsiTheme="minorHAnsi"/>
        </w:rPr>
      </w:pPr>
      <w:r>
        <w:t>5.5</w:t>
      </w:r>
      <w:r>
        <w:rPr>
          <w:rFonts w:asciiTheme="minorHAnsi" w:hAnsiTheme="minorHAnsi"/>
        </w:rPr>
        <w:tab/>
      </w:r>
      <w:r>
        <w:t>Residential demand in existing urban areas</w:t>
      </w:r>
      <w:r>
        <w:tab/>
      </w:r>
      <w:r>
        <w:fldChar w:fldCharType="begin"/>
      </w:r>
      <w:r>
        <w:instrText xml:space="preserve"> PAGEREF _Toc455410520 \h </w:instrText>
      </w:r>
      <w:r>
        <w:fldChar w:fldCharType="separate"/>
      </w:r>
      <w:r w:rsidR="000D2101">
        <w:t>18</w:t>
      </w:r>
      <w:r>
        <w:fldChar w:fldCharType="end"/>
      </w:r>
    </w:p>
    <w:p w:rsidR="00101428" w:rsidRDefault="00101428">
      <w:pPr>
        <w:pStyle w:val="TOC1"/>
        <w:rPr>
          <w:rFonts w:asciiTheme="minorHAnsi" w:hAnsiTheme="minorHAnsi"/>
          <w:noProof/>
        </w:rPr>
      </w:pPr>
      <w:r>
        <w:rPr>
          <w:noProof/>
        </w:rPr>
        <w:t>6.</w:t>
      </w:r>
      <w:r>
        <w:rPr>
          <w:rFonts w:asciiTheme="minorHAnsi" w:hAnsiTheme="minorHAnsi"/>
          <w:noProof/>
        </w:rPr>
        <w:tab/>
      </w:r>
      <w:r>
        <w:rPr>
          <w:noProof/>
        </w:rPr>
        <w:t>Residential development capacity analysis</w:t>
      </w:r>
      <w:r>
        <w:rPr>
          <w:noProof/>
        </w:rPr>
        <w:tab/>
      </w:r>
      <w:r>
        <w:rPr>
          <w:noProof/>
        </w:rPr>
        <w:fldChar w:fldCharType="begin"/>
      </w:r>
      <w:r>
        <w:rPr>
          <w:noProof/>
        </w:rPr>
        <w:instrText xml:space="preserve"> PAGEREF _Toc455410521 \h </w:instrText>
      </w:r>
      <w:r>
        <w:rPr>
          <w:noProof/>
        </w:rPr>
      </w:r>
      <w:r>
        <w:rPr>
          <w:noProof/>
        </w:rPr>
        <w:fldChar w:fldCharType="separate"/>
      </w:r>
      <w:r w:rsidR="000D2101">
        <w:rPr>
          <w:noProof/>
        </w:rPr>
        <w:t>20</w:t>
      </w:r>
      <w:r>
        <w:rPr>
          <w:noProof/>
        </w:rPr>
        <w:fldChar w:fldCharType="end"/>
      </w:r>
    </w:p>
    <w:p w:rsidR="00101428" w:rsidRDefault="00101428" w:rsidP="00101428">
      <w:pPr>
        <w:pStyle w:val="TOC2"/>
        <w:tabs>
          <w:tab w:val="left" w:pos="993"/>
        </w:tabs>
        <w:rPr>
          <w:rFonts w:asciiTheme="minorHAnsi" w:hAnsiTheme="minorHAnsi"/>
        </w:rPr>
      </w:pPr>
      <w:r>
        <w:t>6.1</w:t>
      </w:r>
      <w:r>
        <w:rPr>
          <w:rFonts w:asciiTheme="minorHAnsi" w:hAnsiTheme="minorHAnsi"/>
        </w:rPr>
        <w:tab/>
      </w:r>
      <w:r>
        <w:t>Outputs</w:t>
      </w:r>
      <w:r>
        <w:tab/>
      </w:r>
      <w:r>
        <w:fldChar w:fldCharType="begin"/>
      </w:r>
      <w:r>
        <w:instrText xml:space="preserve"> PAGEREF _Toc455410522 \h </w:instrText>
      </w:r>
      <w:r>
        <w:fldChar w:fldCharType="separate"/>
      </w:r>
      <w:r w:rsidR="000D2101">
        <w:t>20</w:t>
      </w:r>
      <w:r>
        <w:fldChar w:fldCharType="end"/>
      </w:r>
    </w:p>
    <w:p w:rsidR="00101428" w:rsidRDefault="00101428" w:rsidP="00101428">
      <w:pPr>
        <w:pStyle w:val="TOC2"/>
        <w:tabs>
          <w:tab w:val="left" w:pos="993"/>
        </w:tabs>
        <w:rPr>
          <w:rFonts w:asciiTheme="minorHAnsi" w:hAnsiTheme="minorHAnsi"/>
        </w:rPr>
      </w:pPr>
      <w:r>
        <w:t>6.2</w:t>
      </w:r>
      <w:r>
        <w:rPr>
          <w:rFonts w:asciiTheme="minorHAnsi" w:hAnsiTheme="minorHAnsi"/>
        </w:rPr>
        <w:tab/>
      </w:r>
      <w:r>
        <w:t>Residential development capacity methodology flowchart</w:t>
      </w:r>
      <w:r>
        <w:tab/>
      </w:r>
      <w:r>
        <w:fldChar w:fldCharType="begin"/>
      </w:r>
      <w:r>
        <w:instrText xml:space="preserve"> PAGEREF _Toc455410523 \h </w:instrText>
      </w:r>
      <w:r>
        <w:fldChar w:fldCharType="separate"/>
      </w:r>
      <w:r w:rsidR="000D2101">
        <w:t>20</w:t>
      </w:r>
      <w:r>
        <w:fldChar w:fldCharType="end"/>
      </w:r>
    </w:p>
    <w:p w:rsidR="00101428" w:rsidRDefault="00101428" w:rsidP="00101428">
      <w:pPr>
        <w:pStyle w:val="TOC2"/>
        <w:tabs>
          <w:tab w:val="left" w:pos="993"/>
        </w:tabs>
        <w:rPr>
          <w:rFonts w:asciiTheme="minorHAnsi" w:hAnsiTheme="minorHAnsi"/>
        </w:rPr>
      </w:pPr>
      <w:r>
        <w:t>6.3</w:t>
      </w:r>
      <w:r>
        <w:rPr>
          <w:rFonts w:asciiTheme="minorHAnsi" w:hAnsiTheme="minorHAnsi"/>
        </w:rPr>
        <w:tab/>
      </w:r>
      <w:r>
        <w:t>Estimating capacity for greenfield development</w:t>
      </w:r>
      <w:r>
        <w:tab/>
      </w:r>
      <w:r>
        <w:fldChar w:fldCharType="begin"/>
      </w:r>
      <w:r>
        <w:instrText xml:space="preserve"> PAGEREF _Toc455410524 \h </w:instrText>
      </w:r>
      <w:r>
        <w:fldChar w:fldCharType="separate"/>
      </w:r>
      <w:r w:rsidR="000D2101">
        <w:t>22</w:t>
      </w:r>
      <w:r>
        <w:fldChar w:fldCharType="end"/>
      </w:r>
    </w:p>
    <w:p w:rsidR="00101428" w:rsidRDefault="00101428" w:rsidP="00101428">
      <w:pPr>
        <w:pStyle w:val="TOC2"/>
        <w:tabs>
          <w:tab w:val="left" w:pos="993"/>
        </w:tabs>
        <w:rPr>
          <w:rFonts w:asciiTheme="minorHAnsi" w:hAnsiTheme="minorHAnsi"/>
        </w:rPr>
      </w:pPr>
      <w:r>
        <w:t>6.4</w:t>
      </w:r>
      <w:r>
        <w:rPr>
          <w:rFonts w:asciiTheme="minorHAnsi" w:hAnsiTheme="minorHAnsi"/>
        </w:rPr>
        <w:tab/>
      </w:r>
      <w:r>
        <w:t>Estimating capacity for infill or redevelopment in existing urban areas</w:t>
      </w:r>
      <w:r>
        <w:tab/>
      </w:r>
      <w:r>
        <w:fldChar w:fldCharType="begin"/>
      </w:r>
      <w:r>
        <w:instrText xml:space="preserve"> PAGEREF _Toc455410525 \h </w:instrText>
      </w:r>
      <w:r>
        <w:fldChar w:fldCharType="separate"/>
      </w:r>
      <w:r w:rsidR="000D2101">
        <w:t>22</w:t>
      </w:r>
      <w:r>
        <w:fldChar w:fldCharType="end"/>
      </w:r>
    </w:p>
    <w:p w:rsidR="00101428" w:rsidRDefault="00101428" w:rsidP="00101428">
      <w:pPr>
        <w:pStyle w:val="TOC2"/>
        <w:tabs>
          <w:tab w:val="left" w:pos="993"/>
        </w:tabs>
        <w:rPr>
          <w:rFonts w:asciiTheme="minorHAnsi" w:hAnsiTheme="minorHAnsi"/>
        </w:rPr>
      </w:pPr>
      <w:r>
        <w:t>6.5</w:t>
      </w:r>
      <w:r>
        <w:rPr>
          <w:rFonts w:asciiTheme="minorHAnsi" w:hAnsiTheme="minorHAnsi"/>
        </w:rPr>
        <w:tab/>
      </w:r>
      <w:r>
        <w:t>Development feasibility and likelihood</w:t>
      </w:r>
      <w:r>
        <w:tab/>
      </w:r>
      <w:r>
        <w:fldChar w:fldCharType="begin"/>
      </w:r>
      <w:r>
        <w:instrText xml:space="preserve"> PAGEREF _Toc455410526 \h </w:instrText>
      </w:r>
      <w:r>
        <w:fldChar w:fldCharType="separate"/>
      </w:r>
      <w:r w:rsidR="000D2101">
        <w:t>23</w:t>
      </w:r>
      <w:r>
        <w:fldChar w:fldCharType="end"/>
      </w:r>
    </w:p>
    <w:p w:rsidR="00101428" w:rsidRDefault="00101428">
      <w:pPr>
        <w:pStyle w:val="TOC1"/>
        <w:rPr>
          <w:rFonts w:asciiTheme="minorHAnsi" w:hAnsiTheme="minorHAnsi"/>
          <w:noProof/>
        </w:rPr>
      </w:pPr>
      <w:r>
        <w:rPr>
          <w:noProof/>
        </w:rPr>
        <w:t>7.</w:t>
      </w:r>
      <w:r>
        <w:rPr>
          <w:rFonts w:asciiTheme="minorHAnsi" w:hAnsiTheme="minorHAnsi"/>
          <w:noProof/>
        </w:rPr>
        <w:tab/>
      </w:r>
      <w:r>
        <w:rPr>
          <w:noProof/>
        </w:rPr>
        <w:t>Business land analysis</w:t>
      </w:r>
      <w:r>
        <w:rPr>
          <w:noProof/>
        </w:rPr>
        <w:tab/>
      </w:r>
      <w:r>
        <w:rPr>
          <w:noProof/>
        </w:rPr>
        <w:fldChar w:fldCharType="begin"/>
      </w:r>
      <w:r>
        <w:rPr>
          <w:noProof/>
        </w:rPr>
        <w:instrText xml:space="preserve"> PAGEREF _Toc455410527 \h </w:instrText>
      </w:r>
      <w:r>
        <w:rPr>
          <w:noProof/>
        </w:rPr>
      </w:r>
      <w:r>
        <w:rPr>
          <w:noProof/>
        </w:rPr>
        <w:fldChar w:fldCharType="separate"/>
      </w:r>
      <w:r w:rsidR="000D2101">
        <w:rPr>
          <w:noProof/>
        </w:rPr>
        <w:t>25</w:t>
      </w:r>
      <w:r>
        <w:rPr>
          <w:noProof/>
        </w:rPr>
        <w:fldChar w:fldCharType="end"/>
      </w:r>
    </w:p>
    <w:p w:rsidR="00101428" w:rsidRDefault="00101428" w:rsidP="00101428">
      <w:pPr>
        <w:pStyle w:val="TOC2"/>
        <w:tabs>
          <w:tab w:val="left" w:pos="993"/>
        </w:tabs>
        <w:rPr>
          <w:rFonts w:asciiTheme="minorHAnsi" w:hAnsiTheme="minorHAnsi"/>
        </w:rPr>
      </w:pPr>
      <w:r>
        <w:t>7.1</w:t>
      </w:r>
      <w:r>
        <w:rPr>
          <w:rFonts w:asciiTheme="minorHAnsi" w:hAnsiTheme="minorHAnsi"/>
        </w:rPr>
        <w:tab/>
      </w:r>
      <w:r>
        <w:t>Outputs and impact on decisions</w:t>
      </w:r>
      <w:r>
        <w:tab/>
      </w:r>
      <w:r>
        <w:fldChar w:fldCharType="begin"/>
      </w:r>
      <w:r>
        <w:instrText xml:space="preserve"> PAGEREF _Toc455410528 \h </w:instrText>
      </w:r>
      <w:r>
        <w:fldChar w:fldCharType="separate"/>
      </w:r>
      <w:r w:rsidR="000D2101">
        <w:t>25</w:t>
      </w:r>
      <w:r>
        <w:fldChar w:fldCharType="end"/>
      </w:r>
    </w:p>
    <w:p w:rsidR="00101428" w:rsidRDefault="00101428" w:rsidP="00101428">
      <w:pPr>
        <w:pStyle w:val="TOC2"/>
        <w:tabs>
          <w:tab w:val="left" w:pos="993"/>
        </w:tabs>
        <w:rPr>
          <w:rFonts w:asciiTheme="minorHAnsi" w:hAnsiTheme="minorHAnsi"/>
        </w:rPr>
      </w:pPr>
      <w:r>
        <w:t>7.2</w:t>
      </w:r>
      <w:r>
        <w:rPr>
          <w:rFonts w:asciiTheme="minorHAnsi" w:hAnsiTheme="minorHAnsi"/>
        </w:rPr>
        <w:tab/>
      </w:r>
      <w:r>
        <w:t>Estimating demand for business space</w:t>
      </w:r>
      <w:r>
        <w:tab/>
      </w:r>
      <w:r>
        <w:fldChar w:fldCharType="begin"/>
      </w:r>
      <w:r>
        <w:instrText xml:space="preserve"> PAGEREF _Toc455410529 \h </w:instrText>
      </w:r>
      <w:r>
        <w:fldChar w:fldCharType="separate"/>
      </w:r>
      <w:r w:rsidR="000D2101">
        <w:t>26</w:t>
      </w:r>
      <w:r>
        <w:fldChar w:fldCharType="end"/>
      </w:r>
    </w:p>
    <w:p w:rsidR="00101428" w:rsidRDefault="00101428" w:rsidP="00101428">
      <w:pPr>
        <w:pStyle w:val="TOC2"/>
        <w:tabs>
          <w:tab w:val="left" w:pos="993"/>
        </w:tabs>
        <w:rPr>
          <w:rFonts w:asciiTheme="minorHAnsi" w:hAnsiTheme="minorHAnsi"/>
        </w:rPr>
      </w:pPr>
      <w:r>
        <w:t>7.3</w:t>
      </w:r>
      <w:r>
        <w:rPr>
          <w:rFonts w:asciiTheme="minorHAnsi" w:hAnsiTheme="minorHAnsi"/>
        </w:rPr>
        <w:tab/>
      </w:r>
      <w:r>
        <w:t>Measuring business land development capacity</w:t>
      </w:r>
      <w:r>
        <w:tab/>
      </w:r>
      <w:r>
        <w:fldChar w:fldCharType="begin"/>
      </w:r>
      <w:r>
        <w:instrText xml:space="preserve"> PAGEREF _Toc455410530 \h </w:instrText>
      </w:r>
      <w:r>
        <w:fldChar w:fldCharType="separate"/>
      </w:r>
      <w:r w:rsidR="000D2101">
        <w:t>27</w:t>
      </w:r>
      <w:r>
        <w:fldChar w:fldCharType="end"/>
      </w:r>
    </w:p>
    <w:p w:rsidR="00101428" w:rsidRDefault="00101428">
      <w:pPr>
        <w:pStyle w:val="TOC1"/>
        <w:rPr>
          <w:rFonts w:asciiTheme="minorHAnsi" w:hAnsiTheme="minorHAnsi"/>
          <w:noProof/>
        </w:rPr>
      </w:pPr>
      <w:r>
        <w:rPr>
          <w:noProof/>
        </w:rPr>
        <w:t>8.</w:t>
      </w:r>
      <w:r>
        <w:rPr>
          <w:rFonts w:asciiTheme="minorHAnsi" w:hAnsiTheme="minorHAnsi"/>
          <w:noProof/>
        </w:rPr>
        <w:tab/>
      </w:r>
      <w:r>
        <w:rPr>
          <w:noProof/>
        </w:rPr>
        <w:t>Monitoring</w:t>
      </w:r>
      <w:r>
        <w:rPr>
          <w:noProof/>
        </w:rPr>
        <w:tab/>
      </w:r>
      <w:r>
        <w:rPr>
          <w:noProof/>
        </w:rPr>
        <w:fldChar w:fldCharType="begin"/>
      </w:r>
      <w:r>
        <w:rPr>
          <w:noProof/>
        </w:rPr>
        <w:instrText xml:space="preserve"> PAGEREF _Toc455410531 \h </w:instrText>
      </w:r>
      <w:r>
        <w:rPr>
          <w:noProof/>
        </w:rPr>
      </w:r>
      <w:r>
        <w:rPr>
          <w:noProof/>
        </w:rPr>
        <w:fldChar w:fldCharType="separate"/>
      </w:r>
      <w:r w:rsidR="000D2101">
        <w:rPr>
          <w:noProof/>
        </w:rPr>
        <w:t>30</w:t>
      </w:r>
      <w:r>
        <w:rPr>
          <w:noProof/>
        </w:rPr>
        <w:fldChar w:fldCharType="end"/>
      </w:r>
    </w:p>
    <w:p w:rsidR="00101428" w:rsidRDefault="00101428" w:rsidP="00101428">
      <w:pPr>
        <w:pStyle w:val="TOC2"/>
        <w:tabs>
          <w:tab w:val="left" w:pos="993"/>
        </w:tabs>
        <w:rPr>
          <w:rFonts w:asciiTheme="minorHAnsi" w:hAnsiTheme="minorHAnsi"/>
        </w:rPr>
      </w:pPr>
      <w:r>
        <w:t>8.1</w:t>
      </w:r>
      <w:r>
        <w:rPr>
          <w:rFonts w:asciiTheme="minorHAnsi" w:hAnsiTheme="minorHAnsi"/>
        </w:rPr>
        <w:tab/>
      </w:r>
      <w:r>
        <w:t>Monitoring residential development capacity</w:t>
      </w:r>
      <w:r>
        <w:tab/>
      </w:r>
      <w:r>
        <w:fldChar w:fldCharType="begin"/>
      </w:r>
      <w:r>
        <w:instrText xml:space="preserve"> PAGEREF _Toc455410532 \h </w:instrText>
      </w:r>
      <w:r>
        <w:fldChar w:fldCharType="separate"/>
      </w:r>
      <w:r w:rsidR="000D2101">
        <w:t>30</w:t>
      </w:r>
      <w:r>
        <w:fldChar w:fldCharType="end"/>
      </w:r>
    </w:p>
    <w:p w:rsidR="00101428" w:rsidRDefault="00101428" w:rsidP="00101428">
      <w:pPr>
        <w:pStyle w:val="TOC2"/>
        <w:tabs>
          <w:tab w:val="left" w:pos="993"/>
        </w:tabs>
        <w:rPr>
          <w:rFonts w:asciiTheme="minorHAnsi" w:hAnsiTheme="minorHAnsi"/>
        </w:rPr>
      </w:pPr>
      <w:r>
        <w:t>8.2</w:t>
      </w:r>
      <w:r>
        <w:rPr>
          <w:rFonts w:asciiTheme="minorHAnsi" w:hAnsiTheme="minorHAnsi"/>
        </w:rPr>
        <w:tab/>
      </w:r>
      <w:r>
        <w:t>Monitoring business development capacity</w:t>
      </w:r>
      <w:r>
        <w:tab/>
      </w:r>
      <w:r>
        <w:fldChar w:fldCharType="begin"/>
      </w:r>
      <w:r>
        <w:instrText xml:space="preserve"> PAGEREF _Toc455410533 \h </w:instrText>
      </w:r>
      <w:r>
        <w:fldChar w:fldCharType="separate"/>
      </w:r>
      <w:r w:rsidR="000D2101">
        <w:t>31</w:t>
      </w:r>
      <w:r>
        <w:fldChar w:fldCharType="end"/>
      </w:r>
    </w:p>
    <w:p w:rsidR="00101428" w:rsidRDefault="00101428">
      <w:pPr>
        <w:pStyle w:val="TOC1"/>
        <w:rPr>
          <w:rFonts w:asciiTheme="minorHAnsi" w:hAnsiTheme="minorHAnsi"/>
          <w:noProof/>
        </w:rPr>
      </w:pPr>
      <w:r>
        <w:rPr>
          <w:noProof/>
        </w:rPr>
        <w:t>9.</w:t>
      </w:r>
      <w:r>
        <w:rPr>
          <w:rFonts w:asciiTheme="minorHAnsi" w:hAnsiTheme="minorHAnsi"/>
          <w:noProof/>
        </w:rPr>
        <w:tab/>
      </w:r>
      <w:r>
        <w:rPr>
          <w:noProof/>
        </w:rPr>
        <w:t>Costs to councils</w:t>
      </w:r>
      <w:r>
        <w:rPr>
          <w:noProof/>
        </w:rPr>
        <w:tab/>
      </w:r>
      <w:r>
        <w:rPr>
          <w:noProof/>
        </w:rPr>
        <w:fldChar w:fldCharType="begin"/>
      </w:r>
      <w:r>
        <w:rPr>
          <w:noProof/>
        </w:rPr>
        <w:instrText xml:space="preserve"> PAGEREF _Toc455410534 \h </w:instrText>
      </w:r>
      <w:r>
        <w:rPr>
          <w:noProof/>
        </w:rPr>
      </w:r>
      <w:r>
        <w:rPr>
          <w:noProof/>
        </w:rPr>
        <w:fldChar w:fldCharType="separate"/>
      </w:r>
      <w:r w:rsidR="000D2101">
        <w:rPr>
          <w:noProof/>
        </w:rPr>
        <w:t>34</w:t>
      </w:r>
      <w:r>
        <w:rPr>
          <w:noProof/>
        </w:rPr>
        <w:fldChar w:fldCharType="end"/>
      </w:r>
    </w:p>
    <w:p w:rsidR="00101428" w:rsidRDefault="00101428" w:rsidP="00101428">
      <w:pPr>
        <w:pStyle w:val="TOC2"/>
        <w:tabs>
          <w:tab w:val="left" w:pos="993"/>
        </w:tabs>
        <w:rPr>
          <w:rFonts w:asciiTheme="minorHAnsi" w:hAnsiTheme="minorHAnsi"/>
        </w:rPr>
      </w:pPr>
      <w:r>
        <w:t>9.1</w:t>
      </w:r>
      <w:r>
        <w:rPr>
          <w:rFonts w:asciiTheme="minorHAnsi" w:hAnsiTheme="minorHAnsi"/>
        </w:rPr>
        <w:tab/>
      </w:r>
      <w:r>
        <w:t>Costs associated with assessing residential development capacity</w:t>
      </w:r>
      <w:r>
        <w:tab/>
      </w:r>
      <w:r>
        <w:fldChar w:fldCharType="begin"/>
      </w:r>
      <w:r>
        <w:instrText xml:space="preserve"> PAGEREF _Toc455410535 \h </w:instrText>
      </w:r>
      <w:r>
        <w:fldChar w:fldCharType="separate"/>
      </w:r>
      <w:r w:rsidR="000D2101">
        <w:t>34</w:t>
      </w:r>
      <w:r>
        <w:fldChar w:fldCharType="end"/>
      </w:r>
    </w:p>
    <w:p w:rsidR="00101428" w:rsidRDefault="00101428" w:rsidP="00101428">
      <w:pPr>
        <w:pStyle w:val="TOC2"/>
        <w:tabs>
          <w:tab w:val="left" w:pos="993"/>
        </w:tabs>
        <w:rPr>
          <w:rFonts w:asciiTheme="minorHAnsi" w:hAnsiTheme="minorHAnsi"/>
        </w:rPr>
      </w:pPr>
      <w:r>
        <w:t>9.2</w:t>
      </w:r>
      <w:r>
        <w:rPr>
          <w:rFonts w:asciiTheme="minorHAnsi" w:hAnsiTheme="minorHAnsi"/>
        </w:rPr>
        <w:tab/>
      </w:r>
      <w:r>
        <w:t>Business forecasting and monitoring costs</w:t>
      </w:r>
      <w:r>
        <w:tab/>
      </w:r>
      <w:r>
        <w:fldChar w:fldCharType="begin"/>
      </w:r>
      <w:r>
        <w:instrText xml:space="preserve"> PAGEREF _Toc455410536 \h </w:instrText>
      </w:r>
      <w:r>
        <w:fldChar w:fldCharType="separate"/>
      </w:r>
      <w:r w:rsidR="000D2101">
        <w:t>35</w:t>
      </w:r>
      <w:r>
        <w:fldChar w:fldCharType="end"/>
      </w:r>
    </w:p>
    <w:p w:rsidR="003B0295" w:rsidRDefault="003B0295">
      <w:pPr>
        <w:spacing w:before="0" w:after="200" w:line="276" w:lineRule="auto"/>
        <w:jc w:val="left"/>
        <w:rPr>
          <w:noProof/>
        </w:rPr>
      </w:pPr>
      <w:r>
        <w:rPr>
          <w:noProof/>
        </w:rPr>
        <w:br w:type="page"/>
      </w:r>
    </w:p>
    <w:p w:rsidR="00101428" w:rsidRDefault="00101428">
      <w:pPr>
        <w:pStyle w:val="TOC1"/>
        <w:rPr>
          <w:rFonts w:asciiTheme="minorHAnsi" w:hAnsiTheme="minorHAnsi"/>
          <w:noProof/>
        </w:rPr>
      </w:pPr>
      <w:r>
        <w:rPr>
          <w:noProof/>
        </w:rPr>
        <w:t>10.</w:t>
      </w:r>
      <w:r>
        <w:rPr>
          <w:rFonts w:asciiTheme="minorHAnsi" w:hAnsiTheme="minorHAnsi"/>
          <w:noProof/>
        </w:rPr>
        <w:tab/>
      </w:r>
      <w:r>
        <w:rPr>
          <w:noProof/>
        </w:rPr>
        <w:t>Peer review and transparency of  information</w:t>
      </w:r>
      <w:r>
        <w:rPr>
          <w:noProof/>
        </w:rPr>
        <w:tab/>
      </w:r>
      <w:r>
        <w:rPr>
          <w:noProof/>
        </w:rPr>
        <w:fldChar w:fldCharType="begin"/>
      </w:r>
      <w:r>
        <w:rPr>
          <w:noProof/>
        </w:rPr>
        <w:instrText xml:space="preserve"> PAGEREF _Toc455410537 \h </w:instrText>
      </w:r>
      <w:r>
        <w:rPr>
          <w:noProof/>
        </w:rPr>
      </w:r>
      <w:r>
        <w:rPr>
          <w:noProof/>
        </w:rPr>
        <w:fldChar w:fldCharType="separate"/>
      </w:r>
      <w:r w:rsidR="000D2101">
        <w:rPr>
          <w:noProof/>
        </w:rPr>
        <w:t>36</w:t>
      </w:r>
      <w:r>
        <w:rPr>
          <w:noProof/>
        </w:rPr>
        <w:fldChar w:fldCharType="end"/>
      </w:r>
    </w:p>
    <w:p w:rsidR="00101428" w:rsidRDefault="00101428" w:rsidP="00A93A87">
      <w:pPr>
        <w:pStyle w:val="TOC2"/>
        <w:tabs>
          <w:tab w:val="left" w:pos="1134"/>
        </w:tabs>
        <w:rPr>
          <w:rFonts w:asciiTheme="minorHAnsi" w:hAnsiTheme="minorHAnsi"/>
        </w:rPr>
      </w:pPr>
      <w:r>
        <w:t>10.1</w:t>
      </w:r>
      <w:r>
        <w:rPr>
          <w:rFonts w:asciiTheme="minorHAnsi" w:hAnsiTheme="minorHAnsi"/>
        </w:rPr>
        <w:tab/>
      </w:r>
      <w:r>
        <w:t>Transparency of process and reporting</w:t>
      </w:r>
      <w:r>
        <w:tab/>
      </w:r>
      <w:r>
        <w:fldChar w:fldCharType="begin"/>
      </w:r>
      <w:r>
        <w:instrText xml:space="preserve"> PAGEREF _Toc455410538 \h </w:instrText>
      </w:r>
      <w:r>
        <w:fldChar w:fldCharType="separate"/>
      </w:r>
      <w:r w:rsidR="000D2101">
        <w:t>36</w:t>
      </w:r>
      <w:r>
        <w:fldChar w:fldCharType="end"/>
      </w:r>
    </w:p>
    <w:p w:rsidR="00101428" w:rsidRDefault="00101428">
      <w:pPr>
        <w:pStyle w:val="TOC1"/>
        <w:rPr>
          <w:rFonts w:asciiTheme="minorHAnsi" w:hAnsiTheme="minorHAnsi"/>
          <w:noProof/>
        </w:rPr>
      </w:pPr>
      <w:r>
        <w:rPr>
          <w:noProof/>
        </w:rPr>
        <w:t>11.</w:t>
      </w:r>
      <w:r>
        <w:rPr>
          <w:rFonts w:asciiTheme="minorHAnsi" w:hAnsiTheme="minorHAnsi"/>
          <w:noProof/>
        </w:rPr>
        <w:tab/>
      </w:r>
      <w:r>
        <w:rPr>
          <w:noProof/>
        </w:rPr>
        <w:t>Suggestions for the national policy  statement</w:t>
      </w:r>
      <w:r>
        <w:rPr>
          <w:noProof/>
        </w:rPr>
        <w:tab/>
      </w:r>
      <w:r>
        <w:rPr>
          <w:noProof/>
        </w:rPr>
        <w:fldChar w:fldCharType="begin"/>
      </w:r>
      <w:r>
        <w:rPr>
          <w:noProof/>
        </w:rPr>
        <w:instrText xml:space="preserve"> PAGEREF _Toc455410539 \h </w:instrText>
      </w:r>
      <w:r>
        <w:rPr>
          <w:noProof/>
        </w:rPr>
      </w:r>
      <w:r>
        <w:rPr>
          <w:noProof/>
        </w:rPr>
        <w:fldChar w:fldCharType="separate"/>
      </w:r>
      <w:r w:rsidR="000D2101">
        <w:rPr>
          <w:noProof/>
        </w:rPr>
        <w:t>37</w:t>
      </w:r>
      <w:r>
        <w:rPr>
          <w:noProof/>
        </w:rPr>
        <w:fldChar w:fldCharType="end"/>
      </w:r>
    </w:p>
    <w:p w:rsidR="00101428" w:rsidRDefault="00101428">
      <w:pPr>
        <w:pStyle w:val="TOC1"/>
        <w:rPr>
          <w:rFonts w:asciiTheme="minorHAnsi" w:hAnsiTheme="minorHAnsi"/>
          <w:noProof/>
        </w:rPr>
      </w:pPr>
      <w:r>
        <w:rPr>
          <w:noProof/>
        </w:rPr>
        <w:t>12.</w:t>
      </w:r>
      <w:r>
        <w:rPr>
          <w:rFonts w:asciiTheme="minorHAnsi" w:hAnsiTheme="minorHAnsi"/>
          <w:noProof/>
        </w:rPr>
        <w:tab/>
      </w:r>
      <w:r>
        <w:rPr>
          <w:noProof/>
        </w:rPr>
        <w:t>Conclusions</w:t>
      </w:r>
      <w:r>
        <w:rPr>
          <w:noProof/>
        </w:rPr>
        <w:tab/>
      </w:r>
      <w:r>
        <w:rPr>
          <w:noProof/>
        </w:rPr>
        <w:fldChar w:fldCharType="begin"/>
      </w:r>
      <w:r>
        <w:rPr>
          <w:noProof/>
        </w:rPr>
        <w:instrText xml:space="preserve"> PAGEREF _Toc455410540 \h </w:instrText>
      </w:r>
      <w:r>
        <w:rPr>
          <w:noProof/>
        </w:rPr>
      </w:r>
      <w:r>
        <w:rPr>
          <w:noProof/>
        </w:rPr>
        <w:fldChar w:fldCharType="separate"/>
      </w:r>
      <w:r w:rsidR="000D2101">
        <w:rPr>
          <w:noProof/>
        </w:rPr>
        <w:t>38</w:t>
      </w:r>
      <w:r>
        <w:rPr>
          <w:noProof/>
        </w:rPr>
        <w:fldChar w:fldCharType="end"/>
      </w:r>
    </w:p>
    <w:p w:rsidR="00101428" w:rsidRDefault="00101428">
      <w:pPr>
        <w:pStyle w:val="TOC1"/>
        <w:rPr>
          <w:rFonts w:asciiTheme="minorHAnsi" w:hAnsiTheme="minorHAnsi"/>
          <w:noProof/>
        </w:rPr>
      </w:pPr>
      <w:r>
        <w:rPr>
          <w:noProof/>
        </w:rPr>
        <w:t>Appendix 1: Key informants</w:t>
      </w:r>
      <w:r>
        <w:rPr>
          <w:noProof/>
        </w:rPr>
        <w:tab/>
      </w:r>
      <w:r>
        <w:rPr>
          <w:noProof/>
        </w:rPr>
        <w:fldChar w:fldCharType="begin"/>
      </w:r>
      <w:r>
        <w:rPr>
          <w:noProof/>
        </w:rPr>
        <w:instrText xml:space="preserve"> PAGEREF _Toc455410541 \h </w:instrText>
      </w:r>
      <w:r>
        <w:rPr>
          <w:noProof/>
        </w:rPr>
      </w:r>
      <w:r>
        <w:rPr>
          <w:noProof/>
        </w:rPr>
        <w:fldChar w:fldCharType="separate"/>
      </w:r>
      <w:r w:rsidR="000D2101">
        <w:rPr>
          <w:noProof/>
        </w:rPr>
        <w:t>39</w:t>
      </w:r>
      <w:r>
        <w:rPr>
          <w:noProof/>
        </w:rPr>
        <w:fldChar w:fldCharType="end"/>
      </w:r>
    </w:p>
    <w:p w:rsidR="00101428" w:rsidRDefault="00101428">
      <w:pPr>
        <w:pStyle w:val="TOC1"/>
        <w:rPr>
          <w:rFonts w:asciiTheme="minorHAnsi" w:hAnsiTheme="minorHAnsi"/>
          <w:noProof/>
        </w:rPr>
      </w:pPr>
      <w:r>
        <w:rPr>
          <w:noProof/>
        </w:rPr>
        <w:t>References</w:t>
      </w:r>
      <w:r>
        <w:rPr>
          <w:noProof/>
        </w:rPr>
        <w:tab/>
      </w:r>
      <w:r>
        <w:rPr>
          <w:noProof/>
        </w:rPr>
        <w:fldChar w:fldCharType="begin"/>
      </w:r>
      <w:r>
        <w:rPr>
          <w:noProof/>
        </w:rPr>
        <w:instrText xml:space="preserve"> PAGEREF _Toc455410542 \h </w:instrText>
      </w:r>
      <w:r>
        <w:rPr>
          <w:noProof/>
        </w:rPr>
      </w:r>
      <w:r>
        <w:rPr>
          <w:noProof/>
        </w:rPr>
        <w:fldChar w:fldCharType="separate"/>
      </w:r>
      <w:r w:rsidR="000D2101">
        <w:rPr>
          <w:noProof/>
        </w:rPr>
        <w:t>40</w:t>
      </w:r>
      <w:r>
        <w:rPr>
          <w:noProof/>
        </w:rPr>
        <w:fldChar w:fldCharType="end"/>
      </w:r>
    </w:p>
    <w:p w:rsidR="00375116" w:rsidRDefault="00632707" w:rsidP="00560C70">
      <w:pPr>
        <w:pStyle w:val="TOC2"/>
        <w:rPr>
          <w:noProof w:val="0"/>
        </w:rPr>
      </w:pPr>
      <w:r w:rsidRPr="00CC1943">
        <w:rPr>
          <w:noProof w:val="0"/>
        </w:rPr>
        <w:fldChar w:fldCharType="end"/>
      </w:r>
    </w:p>
    <w:p w:rsidR="00375116" w:rsidRDefault="00375116" w:rsidP="00375116"/>
    <w:p w:rsidR="00560C70" w:rsidRPr="00375116" w:rsidRDefault="00560C70" w:rsidP="00375116">
      <w:pPr>
        <w:sectPr w:rsidR="00560C70" w:rsidRPr="00375116" w:rsidSect="006B491E">
          <w:headerReference w:type="even" r:id="rId17"/>
          <w:headerReference w:type="default" r:id="rId18"/>
          <w:footerReference w:type="even" r:id="rId19"/>
          <w:footerReference w:type="default" r:id="rId20"/>
          <w:endnotePr>
            <w:numFmt w:val="decimal"/>
          </w:endnotePr>
          <w:pgSz w:w="11907" w:h="16840" w:code="9"/>
          <w:pgMar w:top="1134" w:right="1418" w:bottom="1134" w:left="1418" w:header="567" w:footer="567" w:gutter="567"/>
          <w:cols w:space="720"/>
        </w:sectPr>
      </w:pPr>
    </w:p>
    <w:p w:rsidR="009E0C89" w:rsidRPr="00761C37" w:rsidRDefault="009E0C89" w:rsidP="001F23F2">
      <w:pPr>
        <w:pStyle w:val="Heading1"/>
        <w:numPr>
          <w:ilvl w:val="0"/>
          <w:numId w:val="29"/>
        </w:numPr>
      </w:pPr>
      <w:bookmarkStart w:id="2" w:name="_Toc455071973"/>
      <w:bookmarkStart w:id="3" w:name="_Toc455410507"/>
      <w:bookmarkEnd w:id="0"/>
      <w:bookmarkEnd w:id="1"/>
      <w:r w:rsidRPr="00761C37">
        <w:t>Executive summary</w:t>
      </w:r>
      <w:bookmarkEnd w:id="2"/>
      <w:bookmarkEnd w:id="3"/>
    </w:p>
    <w:p w:rsidR="009E0C89" w:rsidRDefault="009E0C89" w:rsidP="00A11FE6">
      <w:pPr>
        <w:pStyle w:val="BodyText"/>
      </w:pPr>
      <w:r w:rsidRPr="00412BAD">
        <w:t xml:space="preserve">This </w:t>
      </w:r>
      <w:r>
        <w:t xml:space="preserve">report provides information about the way that nine ‘high growth’ councils in New Zealand estimate demand for housing and business land, and how they measure the development capacity available to meet that demand. The report summarises information provided by council officers and publicly available council reports and plans on the work carried out by councils to date. It also reflects the views of some participants about the adequacy of the information or how it is used; these are the personal views of interviewees, who are generally technical experts engaged in growth modelling at the moment, and do not necessarily represent the views of the councils they are employed by. </w:t>
      </w:r>
    </w:p>
    <w:p w:rsidR="009E0C89" w:rsidRDefault="009E0C89" w:rsidP="00A11FE6">
      <w:pPr>
        <w:pStyle w:val="BodyText"/>
      </w:pPr>
      <w:r>
        <w:t>The work was undertaken to support the proposed National Policy Statement on Urban Development Capacity (NPS-UDC). Development capacity means the capacity of land available for development, that is, or is likely to be, supported by infrastructure, and taking account of all of objectives, policies and rules tha</w:t>
      </w:r>
      <w:r w:rsidR="00774235">
        <w:t>t constrain or enable its use.</w:t>
      </w:r>
    </w:p>
    <w:p w:rsidR="009E0C89" w:rsidRDefault="009E0C89" w:rsidP="00A11FE6">
      <w:pPr>
        <w:pStyle w:val="BodyText"/>
      </w:pPr>
      <w:r>
        <w:t xml:space="preserve">Estimates of demand </w:t>
      </w:r>
      <w:proofErr w:type="gramStart"/>
      <w:r>
        <w:t>for,</w:t>
      </w:r>
      <w:proofErr w:type="gramEnd"/>
      <w:r>
        <w:t xml:space="preserve"> and supply of, development capacity are very important inputs to planning decisions, especially in high growth urban areas. This appears to be recognised by the planners and elected members of the councils reviewed. The resources applied, methods used and the uses of the information vary across different councils. </w:t>
      </w:r>
    </w:p>
    <w:p w:rsidR="009E0C89" w:rsidRDefault="009E0C89" w:rsidP="00A11FE6">
      <w:pPr>
        <w:pStyle w:val="BodyText"/>
      </w:pPr>
      <w:r>
        <w:t xml:space="preserve">All of the councils surveyed use the information first and foremost for long-term strategic and infrastructure planning. </w:t>
      </w:r>
      <w:r w:rsidRPr="00330FB0">
        <w:t>The information is also an input to resource management planning decisions</w:t>
      </w:r>
      <w:r>
        <w:t xml:space="preserve"> but the extent and way that this happens varies. The strength of connection between technical experts, planners and decision-makers affects how they use and understand the information.</w:t>
      </w:r>
    </w:p>
    <w:p w:rsidR="009E0C89" w:rsidRDefault="009E0C89" w:rsidP="00A11FE6">
      <w:pPr>
        <w:pStyle w:val="BodyText"/>
      </w:pPr>
      <w:r w:rsidRPr="00412BAD">
        <w:t>Auckland Council</w:t>
      </w:r>
      <w:r>
        <w:t xml:space="preserve"> invests the most, and undertakes</w:t>
      </w:r>
      <w:r w:rsidRPr="00412BAD">
        <w:t xml:space="preserve"> the most complex and comprehensive modelling to</w:t>
      </w:r>
      <w:r>
        <w:t xml:space="preserve"> forecast demand and supply of development capacity. This reflects its much larger size, and the scale and complexity of long-standing growth pressures. All of the councils surveyed use external consultants to varying degrees to assist them in doing this work.</w:t>
      </w:r>
    </w:p>
    <w:p w:rsidR="009E0C89" w:rsidRDefault="009E0C89" w:rsidP="00A11FE6">
      <w:pPr>
        <w:pStyle w:val="BodyText"/>
      </w:pPr>
      <w:r>
        <w:t xml:space="preserve">The data inputs and </w:t>
      </w:r>
      <w:r w:rsidRPr="000642A1">
        <w:t>methods used to estimate demand for</w:t>
      </w:r>
      <w:r>
        <w:t xml:space="preserve"> housing at the aggregate level are similar across councils. Population and household projections are used to forecast the total number of dwellings required over given periods of time. Councils outside Auckland have concerns with Statistics New Zealand projections, and commission additional work to modify these or generate additional projections.</w:t>
      </w:r>
    </w:p>
    <w:p w:rsidR="009E0C89" w:rsidRDefault="009E0C89" w:rsidP="00A11FE6">
      <w:pPr>
        <w:pStyle w:val="BodyText"/>
      </w:pPr>
      <w:r>
        <w:t xml:space="preserve">Most councils surveyed estimate how demand for housing might be distributed spatially within their jurisdiction, although the focus for most is on estimating demand for dwellings in </w:t>
      </w:r>
      <w:proofErr w:type="gramStart"/>
      <w:r>
        <w:t>greenfield</w:t>
      </w:r>
      <w:proofErr w:type="gramEnd"/>
      <w:r>
        <w:t xml:space="preserve"> areas. The urban councils analysed are now beginning to follow Auckland’s established practice of estimating the</w:t>
      </w:r>
      <w:r w:rsidRPr="00FB2AD8">
        <w:t xml:space="preserve"> demand for </w:t>
      </w:r>
      <w:r>
        <w:t>new dwellings</w:t>
      </w:r>
      <w:r w:rsidRPr="00FB2AD8">
        <w:t xml:space="preserve"> in </w:t>
      </w:r>
      <w:r>
        <w:t>existing urban</w:t>
      </w:r>
      <w:r w:rsidRPr="00FB2AD8">
        <w:t xml:space="preserve"> areas</w:t>
      </w:r>
      <w:r>
        <w:t>. These councils also estimate demand for different types of dwellings (</w:t>
      </w:r>
      <w:proofErr w:type="spellStart"/>
      <w:r>
        <w:t>e</w:t>
      </w:r>
      <w:r w:rsidR="00AF084F">
        <w:t>g</w:t>
      </w:r>
      <w:proofErr w:type="spellEnd"/>
      <w:r w:rsidR="00AF084F">
        <w:t>,</w:t>
      </w:r>
      <w:r>
        <w:t xml:space="preserve"> standalone houses versus apartments). Currently only Auckland Council is modelling market demand in different price brackets, however. All of the councils surveyed </w:t>
      </w:r>
      <w:r w:rsidRPr="000642A1">
        <w:t>calculate the capacity</w:t>
      </w:r>
      <w:r>
        <w:t xml:space="preserve"> for future development usually in terms of the number of dwellings that could be developed, or number of years of demand that could be met. There is diverse practice, however, in how they do this. Some </w:t>
      </w:r>
      <w:proofErr w:type="gramStart"/>
      <w:r>
        <w:t>councils</w:t>
      </w:r>
      <w:proofErr w:type="gramEnd"/>
      <w:r>
        <w:t xml:space="preserve"> only calculate ‘theoretical’ capacity enabled in resource management plans and serviced with infrastructure. Others apply discount factors to take account of the fact that not all plan-enabled, serviced land will be developed. Recently, Auckland Council, Tauranga City Council, Wellington City Council and Queenstown-Lakes District Council have also begun to factor in how much plan-enabled capacity is commercially feasible to develop, to varying degrees. Christchurch City Council does this on an ad hoc basis.  </w:t>
      </w:r>
    </w:p>
    <w:p w:rsidR="009E0C89" w:rsidRDefault="009E0C89" w:rsidP="00A11FE6">
      <w:pPr>
        <w:pStyle w:val="BodyText"/>
      </w:pPr>
      <w:r>
        <w:t xml:space="preserve">Several of the councils surveyed invest in cross-boundary evidence to support joint strategic planning (such as </w:t>
      </w:r>
      <w:proofErr w:type="spellStart"/>
      <w:r w:rsidRPr="00476B33">
        <w:rPr>
          <w:i/>
        </w:rPr>
        <w:t>SmartGrowth</w:t>
      </w:r>
      <w:proofErr w:type="spellEnd"/>
      <w:r>
        <w:t xml:space="preserve">, </w:t>
      </w:r>
      <w:proofErr w:type="spellStart"/>
      <w:r w:rsidRPr="00476B33">
        <w:rPr>
          <w:i/>
        </w:rPr>
        <w:t>FutureProof</w:t>
      </w:r>
      <w:proofErr w:type="spellEnd"/>
      <w:r>
        <w:t xml:space="preserve"> and the </w:t>
      </w:r>
      <w:r w:rsidRPr="00476B33">
        <w:rPr>
          <w:i/>
        </w:rPr>
        <w:t>Greater Christchurch Urban Development Strategy</w:t>
      </w:r>
      <w:r>
        <w:t>). These do not however necessarily produce single forecasts for demand and capacity that are agreed by councils and infrastructure providers and subsequently reflected in resource management plans.</w:t>
      </w:r>
    </w:p>
    <w:p w:rsidR="009E0C89" w:rsidRPr="000642A1" w:rsidRDefault="009E0C89" w:rsidP="00A11FE6">
      <w:pPr>
        <w:pStyle w:val="BodyText"/>
      </w:pPr>
      <w:r>
        <w:t xml:space="preserve">The </w:t>
      </w:r>
      <w:proofErr w:type="gramStart"/>
      <w:r>
        <w:t>councils</w:t>
      </w:r>
      <w:proofErr w:type="gramEnd"/>
      <w:r>
        <w:t xml:space="preserve"> surveyed </w:t>
      </w:r>
      <w:r w:rsidRPr="000642A1">
        <w:t xml:space="preserve">place much less emphasis on forecasting business land demand and capacity than housing, and tend to rely on external consultants for this work. Forecasting business land demand and capacity is very challenging because of the diversity of demands for business space, the difficulty of forecasting local economic development, and poor data. </w:t>
      </w:r>
    </w:p>
    <w:p w:rsidR="009E0C89" w:rsidRDefault="009E0C89" w:rsidP="00A11FE6">
      <w:pPr>
        <w:pStyle w:val="BodyText"/>
      </w:pPr>
      <w:r>
        <w:t>Councils</w:t>
      </w:r>
      <w:r w:rsidRPr="000642A1">
        <w:t xml:space="preserve"> </w:t>
      </w:r>
      <w:r>
        <w:t xml:space="preserve">also </w:t>
      </w:r>
      <w:r w:rsidRPr="000642A1">
        <w:t xml:space="preserve">tend to </w:t>
      </w:r>
      <w:r>
        <w:t>devote less resource to</w:t>
      </w:r>
      <w:r w:rsidRPr="000642A1">
        <w:t xml:space="preserve"> monitoring what is happening</w:t>
      </w:r>
      <w:r>
        <w:t xml:space="preserve"> on the ground, as well as reporting this, than to forecasting the future. </w:t>
      </w:r>
    </w:p>
    <w:p w:rsidR="009E0C89" w:rsidRDefault="009E0C89" w:rsidP="00A11FE6">
      <w:pPr>
        <w:pStyle w:val="BodyText"/>
      </w:pPr>
      <w:r>
        <w:t xml:space="preserve">While there are good practices to build on, there is certainly scope to improve the information underpinning planning decisions about development capacity in urban areas. The NPS-UDC could encourage or require councils to: </w:t>
      </w:r>
    </w:p>
    <w:p w:rsidR="009E0C89" w:rsidRDefault="009E0C89" w:rsidP="00A11FE6">
      <w:pPr>
        <w:pStyle w:val="Bullet"/>
      </w:pPr>
      <w:r>
        <w:t xml:space="preserve">improve their understanding of land and development markets and how planning decisions affect them </w:t>
      </w:r>
    </w:p>
    <w:p w:rsidR="009E0C89" w:rsidRDefault="009E0C89" w:rsidP="00A11FE6">
      <w:pPr>
        <w:pStyle w:val="Bullet"/>
      </w:pPr>
      <w:r>
        <w:t xml:space="preserve">estimate current market demand for different locations and types of property (including business land), and the commercial feasibility of development ( as well as estimating projected future demand) </w:t>
      </w:r>
    </w:p>
    <w:p w:rsidR="009E0C89" w:rsidRDefault="009E0C89" w:rsidP="00A11FE6">
      <w:pPr>
        <w:pStyle w:val="Bullet"/>
      </w:pPr>
      <w:r>
        <w:t>use information provided by price signals to undertake frequent monitoring to gain a better understanding of development and land market conditions</w:t>
      </w:r>
    </w:p>
    <w:p w:rsidR="00A11FE6" w:rsidRDefault="009E0C89" w:rsidP="00A11FE6">
      <w:pPr>
        <w:pStyle w:val="BodyText"/>
      </w:pPr>
      <w:r>
        <w:t>It could also provide more common terms used to describe the availability of development capacity. These requirements would be most effective if the NPS-UDC was supported by an implementation programme, including guidance developed with councils.</w:t>
      </w:r>
    </w:p>
    <w:p w:rsidR="009E0C89" w:rsidRPr="00824BAD" w:rsidRDefault="009E0C89" w:rsidP="00A11FE6">
      <w:pPr>
        <w:pStyle w:val="BodyText"/>
      </w:pPr>
      <w:r w:rsidRPr="00412BAD">
        <w:br w:type="page"/>
      </w:r>
    </w:p>
    <w:p w:rsidR="009E0C89" w:rsidRPr="00761C37" w:rsidRDefault="009E0C89" w:rsidP="001F23F2">
      <w:pPr>
        <w:pStyle w:val="Heading1"/>
        <w:numPr>
          <w:ilvl w:val="0"/>
          <w:numId w:val="29"/>
        </w:numPr>
      </w:pPr>
      <w:bookmarkStart w:id="4" w:name="_Toc455071974"/>
      <w:bookmarkStart w:id="5" w:name="_Toc455410508"/>
      <w:r w:rsidRPr="00761C37">
        <w:t>Introduction</w:t>
      </w:r>
      <w:bookmarkEnd w:id="4"/>
      <w:bookmarkEnd w:id="5"/>
      <w:r w:rsidRPr="00761C37">
        <w:t xml:space="preserve"> </w:t>
      </w:r>
    </w:p>
    <w:p w:rsidR="009E0C89" w:rsidRDefault="009E0C89" w:rsidP="00A11FE6">
      <w:pPr>
        <w:pStyle w:val="BodyText"/>
      </w:pPr>
      <w:r w:rsidRPr="00464348">
        <w:t>This report summarises the findings of research commissioned by the Ministry for the Environment (</w:t>
      </w:r>
      <w:proofErr w:type="spellStart"/>
      <w:r w:rsidRPr="00464348">
        <w:t>MfE</w:t>
      </w:r>
      <w:proofErr w:type="spellEnd"/>
      <w:r w:rsidRPr="00464348">
        <w:t>) and</w:t>
      </w:r>
      <w:r>
        <w:t xml:space="preserve"> the</w:t>
      </w:r>
      <w:r w:rsidRPr="00464348">
        <w:t xml:space="preserve"> Ministry of Business, Innovation and Employment (MBIE) </w:t>
      </w:r>
      <w:r>
        <w:t xml:space="preserve">to support </w:t>
      </w:r>
      <w:r w:rsidRPr="00464348">
        <w:t xml:space="preserve">the </w:t>
      </w:r>
      <w:r>
        <w:t xml:space="preserve">development of a </w:t>
      </w:r>
      <w:r w:rsidRPr="00464348">
        <w:t xml:space="preserve">National Policy Statement on Urban </w:t>
      </w:r>
      <w:r>
        <w:t xml:space="preserve">Development Capacity (NPS-UDC). </w:t>
      </w:r>
    </w:p>
    <w:p w:rsidR="009E0C89" w:rsidRDefault="009E0C89" w:rsidP="00A11FE6">
      <w:pPr>
        <w:pStyle w:val="BodyText"/>
        <w:rPr>
          <w:color w:val="000000" w:themeColor="text1"/>
        </w:rPr>
      </w:pPr>
      <w:r>
        <w:t xml:space="preserve">The report describes how councils </w:t>
      </w:r>
      <w:r>
        <w:rPr>
          <w:color w:val="000000" w:themeColor="text1"/>
        </w:rPr>
        <w:t>estimate deman</w:t>
      </w:r>
      <w:r w:rsidR="0057636C">
        <w:rPr>
          <w:color w:val="000000" w:themeColor="text1"/>
        </w:rPr>
        <w:t>d for housing and business land</w:t>
      </w:r>
      <w:r>
        <w:rPr>
          <w:color w:val="000000" w:themeColor="text1"/>
        </w:rPr>
        <w:t xml:space="preserve"> and how they measure the capacity available in their areas for meeting that demand, or </w:t>
      </w:r>
      <w:r w:rsidRPr="000642A1">
        <w:rPr>
          <w:color w:val="000000" w:themeColor="text1"/>
        </w:rPr>
        <w:t>development capacity (</w:t>
      </w:r>
      <w:r>
        <w:rPr>
          <w:color w:val="000000" w:themeColor="text1"/>
        </w:rPr>
        <w:t xml:space="preserve">refer to section 3 for a definition of </w:t>
      </w:r>
      <w:hyperlink w:anchor="_Development_capacity" w:history="1">
        <w:r w:rsidRPr="0057636C">
          <w:rPr>
            <w:rStyle w:val="Hyperlink"/>
            <w:u w:val="none"/>
          </w:rPr>
          <w:t>development capacity</w:t>
        </w:r>
      </w:hyperlink>
      <w:r>
        <w:rPr>
          <w:color w:val="000000" w:themeColor="text1"/>
        </w:rPr>
        <w:t>). It also provides a broad evaluation of how this information is used in resource management decision-making. In general, it is a key part of the evidence base used by councils when they make resource management planning decisions that affect development capacity.</w:t>
      </w:r>
    </w:p>
    <w:p w:rsidR="009E0C89" w:rsidRPr="00464348" w:rsidRDefault="009E0C89" w:rsidP="00A11FE6">
      <w:pPr>
        <w:pStyle w:val="BodyText"/>
      </w:pPr>
      <w:r>
        <w:rPr>
          <w:color w:val="000000" w:themeColor="text1"/>
        </w:rPr>
        <w:t>The research describes, at a high level, the following attributes of the work of councils to estimate demand and capacity</w:t>
      </w:r>
      <w:r w:rsidRPr="00464348">
        <w:t>:</w:t>
      </w:r>
    </w:p>
    <w:p w:rsidR="009E0C89" w:rsidRPr="00464348" w:rsidRDefault="009E0C89" w:rsidP="00A11FE6">
      <w:pPr>
        <w:pStyle w:val="Bullet"/>
      </w:pPr>
      <w:r w:rsidRPr="00464348">
        <w:t>data inputs</w:t>
      </w:r>
    </w:p>
    <w:p w:rsidR="009E0C89" w:rsidRPr="00464348" w:rsidRDefault="009E0C89" w:rsidP="00A11FE6">
      <w:pPr>
        <w:pStyle w:val="Bullet"/>
      </w:pPr>
      <w:r>
        <w:t xml:space="preserve">methodologies </w:t>
      </w:r>
      <w:r w:rsidRPr="00464348">
        <w:t xml:space="preserve">(ranging from one-off pieces of research, through to sophisticated models that can be used to test the outcomes of different </w:t>
      </w:r>
      <w:r>
        <w:t>planning rules and development controls</w:t>
      </w:r>
      <w:r w:rsidRPr="00464348">
        <w:t>)</w:t>
      </w:r>
    </w:p>
    <w:p w:rsidR="009E0C89" w:rsidRPr="00464348" w:rsidRDefault="009E0C89" w:rsidP="00A11FE6">
      <w:pPr>
        <w:pStyle w:val="Bullet"/>
      </w:pPr>
      <w:r w:rsidRPr="00464348">
        <w:t xml:space="preserve">the extent to which </w:t>
      </w:r>
      <w:r>
        <w:t>councils</w:t>
      </w:r>
      <w:r w:rsidRPr="00464348">
        <w:t xml:space="preserve"> do work to understand the interaction between planning and the market (and if so, what and how) </w:t>
      </w:r>
    </w:p>
    <w:p w:rsidR="009E0C89" w:rsidRPr="00464348" w:rsidRDefault="009E0C89" w:rsidP="00A11FE6">
      <w:pPr>
        <w:pStyle w:val="Bullet"/>
      </w:pPr>
      <w:r>
        <w:t>the extent to which councils monitor the market, and the impact of their plans</w:t>
      </w:r>
    </w:p>
    <w:p w:rsidR="009E0C89" w:rsidRPr="00464348" w:rsidRDefault="009E0C89" w:rsidP="00A11FE6">
      <w:pPr>
        <w:pStyle w:val="Bullet"/>
      </w:pPr>
      <w:r>
        <w:t xml:space="preserve">the </w:t>
      </w:r>
      <w:r w:rsidRPr="00464348">
        <w:t xml:space="preserve">level of integration between different experts within </w:t>
      </w:r>
      <w:r>
        <w:t>councils</w:t>
      </w:r>
      <w:r w:rsidRPr="00464348">
        <w:t xml:space="preserve"> (technical</w:t>
      </w:r>
      <w:r>
        <w:t xml:space="preserve"> experts and</w:t>
      </w:r>
      <w:r w:rsidRPr="00464348">
        <w:t xml:space="preserve"> strategic, regulatory and infrastructure planners)</w:t>
      </w:r>
    </w:p>
    <w:p w:rsidR="009E0C89" w:rsidRPr="00464348" w:rsidRDefault="009E0C89" w:rsidP="00A11FE6">
      <w:pPr>
        <w:pStyle w:val="Bullet"/>
      </w:pPr>
      <w:r>
        <w:t xml:space="preserve">the </w:t>
      </w:r>
      <w:r w:rsidRPr="00464348">
        <w:t xml:space="preserve">extent of any collaboration between </w:t>
      </w:r>
      <w:r>
        <w:t>councils</w:t>
      </w:r>
      <w:r w:rsidRPr="00464348">
        <w:t xml:space="preserve"> </w:t>
      </w:r>
    </w:p>
    <w:p w:rsidR="009E0C89" w:rsidRPr="00464348" w:rsidRDefault="009E0C89" w:rsidP="00A11FE6">
      <w:pPr>
        <w:pStyle w:val="Bullet"/>
      </w:pPr>
      <w:r w:rsidRPr="00464348">
        <w:t>resources applied</w:t>
      </w:r>
    </w:p>
    <w:p w:rsidR="009E0C89" w:rsidRDefault="009E0C89" w:rsidP="00A11FE6">
      <w:pPr>
        <w:pStyle w:val="Bullet"/>
      </w:pPr>
      <w:proofErr w:type="gramStart"/>
      <w:r w:rsidRPr="00464348">
        <w:t>the</w:t>
      </w:r>
      <w:proofErr w:type="gramEnd"/>
      <w:r w:rsidRPr="00464348">
        <w:t xml:space="preserve"> way that </w:t>
      </w:r>
      <w:r>
        <w:t xml:space="preserve">councils use the </w:t>
      </w:r>
      <w:r w:rsidRPr="00464348">
        <w:t>information</w:t>
      </w:r>
      <w:r>
        <w:t xml:space="preserve">, and the impact it has on planning decisions. </w:t>
      </w:r>
    </w:p>
    <w:p w:rsidR="009E0C89" w:rsidRPr="00476B33" w:rsidRDefault="009E0C89" w:rsidP="00A11FE6">
      <w:pPr>
        <w:pStyle w:val="BodyText"/>
        <w:rPr>
          <w:sz w:val="18"/>
        </w:rPr>
      </w:pPr>
      <w:r>
        <w:t>The research focuses on the similarities and differences in practice of nine ‘high growth’ councils and groupings of councils in New Zealand. These are the regional councils and territorial authorities that are currently projected to experience higher than average population growth</w:t>
      </w:r>
      <w:r>
        <w:rPr>
          <w:rStyle w:val="FootnoteReference"/>
          <w:rFonts w:ascii="Arial" w:hAnsi="Arial" w:cs="Arial"/>
          <w:color w:val="000000" w:themeColor="text1"/>
        </w:rPr>
        <w:footnoteReference w:id="1"/>
      </w:r>
      <w:r>
        <w:t xml:space="preserve">: Auckland Council, Hamilton City, Tauranga City, Greater Wellington, </w:t>
      </w:r>
      <w:r w:rsidRPr="00862B5D">
        <w:t>Wellington City, Christchurch City, Selwyn District</w:t>
      </w:r>
      <w:r>
        <w:t>, Greater Christchurch</w:t>
      </w:r>
      <w:r w:rsidRPr="00862B5D">
        <w:rPr>
          <w:rStyle w:val="FootnoteReference"/>
          <w:rFonts w:ascii="Arial" w:hAnsi="Arial" w:cs="Arial"/>
          <w:color w:val="000000" w:themeColor="text1"/>
        </w:rPr>
        <w:footnoteReference w:id="2"/>
      </w:r>
      <w:r w:rsidRPr="00862B5D">
        <w:t xml:space="preserve"> and Queenstown-Lakes District. </w:t>
      </w:r>
      <w:proofErr w:type="spellStart"/>
      <w:r w:rsidRPr="00862B5D">
        <w:t>MfE</w:t>
      </w:r>
      <w:proofErr w:type="spellEnd"/>
      <w:r w:rsidRPr="00862B5D">
        <w:t xml:space="preserve"> and MBIE also contacted</w:t>
      </w:r>
      <w:r>
        <w:t xml:space="preserve"> the</w:t>
      </w:r>
      <w:r w:rsidRPr="00862B5D">
        <w:t xml:space="preserve"> Bay of Plenty Regional Council, </w:t>
      </w:r>
      <w:proofErr w:type="spellStart"/>
      <w:r w:rsidRPr="00862B5D">
        <w:t>Waimakariri</w:t>
      </w:r>
      <w:proofErr w:type="spellEnd"/>
      <w:r w:rsidRPr="00862B5D">
        <w:t xml:space="preserve"> District and Waikato Regional Council</w:t>
      </w:r>
      <w:r>
        <w:t xml:space="preserve"> who </w:t>
      </w:r>
      <w:r w:rsidRPr="00862B5D">
        <w:t>were either unable to participate or considered that other councils were better placed to do so.</w:t>
      </w:r>
    </w:p>
    <w:p w:rsidR="009E0C89" w:rsidRPr="002B1B2F" w:rsidRDefault="009E0C89" w:rsidP="003A4A32">
      <w:pPr>
        <w:pStyle w:val="Heading2"/>
      </w:pPr>
      <w:bookmarkStart w:id="6" w:name="_Toc455410509"/>
      <w:r>
        <w:t>2.1</w:t>
      </w:r>
      <w:r>
        <w:tab/>
        <w:t>Information sources and attribution</w:t>
      </w:r>
      <w:bookmarkEnd w:id="6"/>
      <w:r>
        <w:t xml:space="preserve"> </w:t>
      </w:r>
    </w:p>
    <w:p w:rsidR="009E0C89" w:rsidRDefault="009E0C89" w:rsidP="00A11FE6">
      <w:pPr>
        <w:pStyle w:val="BodyText"/>
      </w:pPr>
      <w:r>
        <w:t xml:space="preserve">The report summarises and evaluates the practices of councils based on information provided by interviewees, and publicly available council reports and plans. The report </w:t>
      </w:r>
      <w:r w:rsidRPr="002B1B2F">
        <w:t xml:space="preserve">contains statements which are the views of </w:t>
      </w:r>
      <w:proofErr w:type="spellStart"/>
      <w:r w:rsidRPr="002B1B2F">
        <w:t>M</w:t>
      </w:r>
      <w:r>
        <w:t>f</w:t>
      </w:r>
      <w:r w:rsidRPr="002B1B2F">
        <w:t>E</w:t>
      </w:r>
      <w:proofErr w:type="spellEnd"/>
      <w:r w:rsidRPr="002B1B2F">
        <w:t xml:space="preserve"> </w:t>
      </w:r>
      <w:r>
        <w:t xml:space="preserve">and MBIE </w:t>
      </w:r>
      <w:r w:rsidRPr="002B1B2F">
        <w:t xml:space="preserve">based on an interpretation of </w:t>
      </w:r>
      <w:r>
        <w:t xml:space="preserve">publicly available </w:t>
      </w:r>
      <w:r w:rsidRPr="002B1B2F">
        <w:t xml:space="preserve">information and </w:t>
      </w:r>
      <w:r>
        <w:t xml:space="preserve">the </w:t>
      </w:r>
      <w:r w:rsidRPr="002B1B2F">
        <w:t>views shared by interviewees</w:t>
      </w:r>
      <w:r>
        <w:t>. None of the interviewees have been asked to endorse</w:t>
      </w:r>
      <w:r w:rsidR="001D4164">
        <w:t xml:space="preserve"> the statements in the report.</w:t>
      </w:r>
    </w:p>
    <w:p w:rsidR="009E0C89" w:rsidRDefault="009E0C89" w:rsidP="00A11FE6">
      <w:pPr>
        <w:pStyle w:val="BodyText"/>
      </w:pPr>
      <w:r>
        <w:t xml:space="preserve">Several of the interviewees offered useful perspectives on areas where the national policy statement could improve or build on existing practice. It is important to note that the interviewees are a mixture of technical experts and planners involved in growth modelling at the </w:t>
      </w:r>
      <w:r w:rsidRPr="00CF2B39">
        <w:t xml:space="preserve">moment, and the views they expressed do not necessarily represent the views of the councils they are employed by. A full list of people interviewed for this report is attached at </w:t>
      </w:r>
      <w:hyperlink w:anchor="_Appendix_1:_Key" w:history="1">
        <w:r w:rsidRPr="00CF2B39">
          <w:rPr>
            <w:rStyle w:val="Hyperlink"/>
            <w:color w:val="auto"/>
            <w:u w:val="none"/>
          </w:rPr>
          <w:t>Appendix 1</w:t>
        </w:r>
      </w:hyperlink>
      <w:bookmarkStart w:id="7" w:name="_GoBack"/>
      <w:bookmarkEnd w:id="7"/>
      <w:r w:rsidRPr="00CF2B39">
        <w:t>, while a</w:t>
      </w:r>
      <w:r>
        <w:t xml:space="preserve"> list of reports is listed </w:t>
      </w:r>
      <w:r w:rsidR="00CF2B39">
        <w:t>in the References</w:t>
      </w:r>
      <w:r>
        <w:t xml:space="preserve">. MBIE and </w:t>
      </w:r>
      <w:proofErr w:type="spellStart"/>
      <w:r>
        <w:t>MfE</w:t>
      </w:r>
      <w:proofErr w:type="spellEnd"/>
      <w:r>
        <w:t xml:space="preserve"> thank the individuals and organisations who provided information and their views. </w:t>
      </w:r>
    </w:p>
    <w:p w:rsidR="009E0C89" w:rsidRDefault="009E0C89" w:rsidP="00A11FE6">
      <w:pPr>
        <w:pStyle w:val="BodyText"/>
      </w:pPr>
    </w:p>
    <w:p w:rsidR="00761C37" w:rsidRDefault="00761C37">
      <w:pPr>
        <w:spacing w:before="0" w:after="200" w:line="276" w:lineRule="auto"/>
        <w:jc w:val="left"/>
        <w:rPr>
          <w:rFonts w:eastAsiaTheme="majorEastAsia" w:cstheme="majorBidi"/>
          <w:b/>
          <w:bCs/>
          <w:color w:val="E36F1E"/>
          <w:sz w:val="48"/>
          <w:szCs w:val="28"/>
        </w:rPr>
      </w:pPr>
      <w:bookmarkStart w:id="8" w:name="_Toc449041585"/>
      <w:bookmarkStart w:id="9" w:name="_Toc450660766"/>
      <w:bookmarkStart w:id="10" w:name="_Toc455071975"/>
      <w:bookmarkEnd w:id="8"/>
      <w:bookmarkEnd w:id="9"/>
      <w:r>
        <w:br w:type="page"/>
      </w:r>
    </w:p>
    <w:p w:rsidR="009E0C89" w:rsidRPr="002B1B2F" w:rsidRDefault="009E0C89" w:rsidP="001F23F2">
      <w:pPr>
        <w:pStyle w:val="Heading1"/>
        <w:numPr>
          <w:ilvl w:val="0"/>
          <w:numId w:val="29"/>
        </w:numPr>
      </w:pPr>
      <w:bookmarkStart w:id="11" w:name="_Toc455410510"/>
      <w:r w:rsidRPr="002B1B2F">
        <w:t>Definitions</w:t>
      </w:r>
      <w:bookmarkEnd w:id="10"/>
      <w:bookmarkEnd w:id="11"/>
    </w:p>
    <w:p w:rsidR="009E0C89" w:rsidRPr="005603BC" w:rsidRDefault="009E0C89" w:rsidP="00A11FE6">
      <w:pPr>
        <w:pStyle w:val="Heading3"/>
        <w:spacing w:before="0"/>
      </w:pPr>
      <w:bookmarkStart w:id="12" w:name="_Development_capacity"/>
      <w:bookmarkEnd w:id="12"/>
      <w:r w:rsidRPr="005603BC">
        <w:t>Development capacity</w:t>
      </w:r>
    </w:p>
    <w:p w:rsidR="009E0C89" w:rsidRDefault="009E0C89" w:rsidP="00BE4AEB">
      <w:pPr>
        <w:pStyle w:val="BodyText"/>
      </w:pPr>
      <w:r w:rsidRPr="009F4795">
        <w:t xml:space="preserve">Development capacity is the quantitative capacity for development on land, including the capacity to build </w:t>
      </w:r>
      <w:r>
        <w:t>‘</w:t>
      </w:r>
      <w:r w:rsidRPr="009F4795">
        <w:t>up</w:t>
      </w:r>
      <w:r>
        <w:t>’</w:t>
      </w:r>
      <w:r w:rsidRPr="009F4795">
        <w:t xml:space="preserve"> as well as </w:t>
      </w:r>
      <w:r>
        <w:t>‘</w:t>
      </w:r>
      <w:r w:rsidRPr="009F4795">
        <w:t>out</w:t>
      </w:r>
      <w:r>
        <w:t>’</w:t>
      </w:r>
      <w:r w:rsidRPr="009F4795">
        <w:t xml:space="preserve">. </w:t>
      </w:r>
      <w:r>
        <w:t>R</w:t>
      </w:r>
      <w:r w:rsidRPr="009F4795">
        <w:t>esidential development capacity</w:t>
      </w:r>
      <w:r>
        <w:t xml:space="preserve"> can be expressed</w:t>
      </w:r>
      <w:r w:rsidRPr="009F4795">
        <w:t xml:space="preserve"> in </w:t>
      </w:r>
      <w:r>
        <w:t>a variety of different ways, including:</w:t>
      </w:r>
      <w:r w:rsidRPr="009F4795">
        <w:t xml:space="preserve"> </w:t>
      </w:r>
    </w:p>
    <w:p w:rsidR="009E0C89" w:rsidRDefault="009E0C89" w:rsidP="00BE4AEB">
      <w:pPr>
        <w:pStyle w:val="Bullet"/>
      </w:pPr>
      <w:r w:rsidRPr="009F4795">
        <w:t xml:space="preserve">the total number of dwellings </w:t>
      </w:r>
    </w:p>
    <w:p w:rsidR="009E0C89" w:rsidRDefault="009E0C89" w:rsidP="00BE4AEB">
      <w:pPr>
        <w:pStyle w:val="Bullet"/>
      </w:pPr>
      <w:r>
        <w:t xml:space="preserve">hectares of land </w:t>
      </w:r>
    </w:p>
    <w:p w:rsidR="009E0C89" w:rsidRDefault="009E0C89" w:rsidP="00BE4AEB">
      <w:pPr>
        <w:pStyle w:val="Bullet"/>
      </w:pPr>
      <w:proofErr w:type="gramStart"/>
      <w:r w:rsidRPr="009F4795">
        <w:t>the</w:t>
      </w:r>
      <w:proofErr w:type="gramEnd"/>
      <w:r w:rsidRPr="009F4795">
        <w:t xml:space="preserve"> number of years of estimated demand that can be accommodated</w:t>
      </w:r>
      <w:r w:rsidR="00BE4AEB">
        <w:t>.</w:t>
      </w:r>
      <w:r>
        <w:t xml:space="preserve"> </w:t>
      </w:r>
    </w:p>
    <w:p w:rsidR="009E0C89" w:rsidRPr="009F4795" w:rsidRDefault="009E0C89" w:rsidP="00BE4AEB">
      <w:pPr>
        <w:pStyle w:val="BodyText"/>
      </w:pPr>
      <w:r>
        <w:t>Not all of these are comparable or are interpreted the same way</w:t>
      </w:r>
      <w:r w:rsidRPr="009F4795">
        <w:t xml:space="preserve">. </w:t>
      </w:r>
      <w:r>
        <w:t>Business development c</w:t>
      </w:r>
      <w:r w:rsidRPr="009F4795">
        <w:t xml:space="preserve">apacity is </w:t>
      </w:r>
      <w:r>
        <w:t xml:space="preserve">often </w:t>
      </w:r>
      <w:r w:rsidRPr="009F4795">
        <w:t xml:space="preserve">expressed in </w:t>
      </w:r>
      <w:r>
        <w:t xml:space="preserve">gross </w:t>
      </w:r>
      <w:r w:rsidRPr="009F4795">
        <w:t>floor area (GFA)</w:t>
      </w:r>
      <w:r>
        <w:t xml:space="preserve"> of vacant business land</w:t>
      </w:r>
      <w:r w:rsidRPr="009F4795">
        <w:t>.</w:t>
      </w:r>
    </w:p>
    <w:p w:rsidR="009E0C89" w:rsidRDefault="009E0C89" w:rsidP="00BE4AEB">
      <w:pPr>
        <w:pStyle w:val="BodyText"/>
      </w:pPr>
      <w:r w:rsidRPr="009F4795">
        <w:t xml:space="preserve">Beyond this, there is considerable variation in how </w:t>
      </w:r>
      <w:r>
        <w:t>councils</w:t>
      </w:r>
      <w:r w:rsidRPr="009F4795">
        <w:t xml:space="preserve"> define and calculate development capacity, and how this relates to development on the ground.</w:t>
      </w:r>
      <w:r>
        <w:t xml:space="preserve"> </w:t>
      </w:r>
      <w:r w:rsidRPr="009F4795">
        <w:t xml:space="preserve">The following diagram </w:t>
      </w:r>
      <w:r>
        <w:t>provides a notional illustration of:</w:t>
      </w:r>
      <w:r w:rsidRPr="009F4795">
        <w:t xml:space="preserve"> </w:t>
      </w:r>
    </w:p>
    <w:p w:rsidR="009E0C89" w:rsidRDefault="009E0C89" w:rsidP="00BE4AEB">
      <w:pPr>
        <w:pStyle w:val="Bullet"/>
      </w:pPr>
      <w:r>
        <w:t>‘</w:t>
      </w:r>
      <w:r w:rsidRPr="009F4795">
        <w:t>plan-enabled</w:t>
      </w:r>
      <w:r>
        <w:t>’</w:t>
      </w:r>
      <w:r w:rsidRPr="009F4795">
        <w:t xml:space="preserve"> capacity </w:t>
      </w:r>
    </w:p>
    <w:p w:rsidR="009E0C89" w:rsidRDefault="009E0C89" w:rsidP="00BE4AEB">
      <w:pPr>
        <w:pStyle w:val="Bullet"/>
      </w:pPr>
      <w:r w:rsidRPr="009F4795">
        <w:t xml:space="preserve">capacity that is serviced with infrastructure </w:t>
      </w:r>
    </w:p>
    <w:p w:rsidR="009E0C89" w:rsidRDefault="009E0C89" w:rsidP="00BE4AEB">
      <w:pPr>
        <w:pStyle w:val="Bullet"/>
      </w:pPr>
      <w:r>
        <w:t>‘</w:t>
      </w:r>
      <w:r w:rsidRPr="009F4795">
        <w:t>commercially feasible</w:t>
      </w:r>
      <w:r>
        <w:t>’</w:t>
      </w:r>
      <w:r w:rsidRPr="009F4795">
        <w:t xml:space="preserve"> development capacity </w:t>
      </w:r>
    </w:p>
    <w:p w:rsidR="009E0C89" w:rsidRDefault="009E0C89" w:rsidP="00BE4AEB">
      <w:pPr>
        <w:pStyle w:val="Bullet"/>
      </w:pPr>
      <w:proofErr w:type="gramStart"/>
      <w:r w:rsidRPr="009F4795">
        <w:t>de</w:t>
      </w:r>
      <w:r w:rsidR="00090D75">
        <w:t>velopment</w:t>
      </w:r>
      <w:proofErr w:type="gramEnd"/>
      <w:r w:rsidR="00090D75">
        <w:t xml:space="preserve"> that actually occurs.</w:t>
      </w:r>
    </w:p>
    <w:p w:rsidR="009E0C89" w:rsidRPr="009F4795" w:rsidRDefault="009E0C89" w:rsidP="00BE4AEB">
      <w:pPr>
        <w:pStyle w:val="BodyText"/>
      </w:pPr>
      <w:r>
        <w:t>The ‘likelihood’ of development is another concept used to u</w:t>
      </w:r>
      <w:r w:rsidR="00090D75">
        <w:t>nderstand development capacity.</w:t>
      </w:r>
    </w:p>
    <w:p w:rsidR="009E0C89" w:rsidRDefault="009E0C89" w:rsidP="009E0C89">
      <w:pPr>
        <w:pStyle w:val="INTROtext"/>
        <w:spacing w:before="240"/>
        <w:rPr>
          <w:rFonts w:ascii="Arial" w:hAnsi="Arial" w:cs="Arial"/>
          <w:color w:val="auto"/>
          <w:sz w:val="18"/>
        </w:rPr>
      </w:pPr>
      <w:r w:rsidRPr="009C4556">
        <w:rPr>
          <w:noProof/>
          <w:lang w:eastAsia="en-NZ"/>
        </w:rPr>
        <w:drawing>
          <wp:inline distT="0" distB="0" distL="0" distR="0" wp14:anchorId="1F43D1F8" wp14:editId="07DAD9EF">
            <wp:extent cx="3603848" cy="3718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5910" cy="3720181"/>
                    </a:xfrm>
                    <a:prstGeom prst="rect">
                      <a:avLst/>
                    </a:prstGeom>
                    <a:noFill/>
                  </pic:spPr>
                </pic:pic>
              </a:graphicData>
            </a:graphic>
          </wp:inline>
        </w:drawing>
      </w:r>
    </w:p>
    <w:p w:rsidR="009E0C89" w:rsidRPr="005603BC" w:rsidRDefault="009E0C89" w:rsidP="00BE4AEB">
      <w:pPr>
        <w:pStyle w:val="Heading3"/>
      </w:pPr>
      <w:r>
        <w:t>‘</w:t>
      </w:r>
      <w:r w:rsidRPr="005603BC">
        <w:t>Plan-enabled</w:t>
      </w:r>
      <w:r>
        <w:t>’</w:t>
      </w:r>
      <w:r w:rsidRPr="005603BC">
        <w:t xml:space="preserve"> development capacity </w:t>
      </w:r>
    </w:p>
    <w:p w:rsidR="009E0C89" w:rsidRDefault="009E0C89" w:rsidP="00BE4AEB">
      <w:pPr>
        <w:pStyle w:val="BodyText"/>
      </w:pPr>
      <w:r>
        <w:t>Plan-enabled development capacity is th</w:t>
      </w:r>
      <w:r w:rsidRPr="009F4795">
        <w:t xml:space="preserve">e </w:t>
      </w:r>
      <w:r>
        <w:t>amount</w:t>
      </w:r>
      <w:r w:rsidRPr="009F4795">
        <w:t xml:space="preserve"> of development </w:t>
      </w:r>
      <w:r>
        <w:t xml:space="preserve">capacity </w:t>
      </w:r>
      <w:r w:rsidRPr="009F4795">
        <w:t xml:space="preserve">allowed by resource management plans within a </w:t>
      </w:r>
      <w:r>
        <w:t>council</w:t>
      </w:r>
      <w:r w:rsidRPr="009F4795">
        <w:t xml:space="preserve"> area, once all </w:t>
      </w:r>
      <w:r>
        <w:t xml:space="preserve">of </w:t>
      </w:r>
      <w:r w:rsidRPr="009F4795">
        <w:t xml:space="preserve">the rules and </w:t>
      </w:r>
      <w:r>
        <w:t xml:space="preserve">development controls </w:t>
      </w:r>
      <w:r w:rsidRPr="009F4795">
        <w:t>are taken into account (</w:t>
      </w:r>
      <w:proofErr w:type="spellStart"/>
      <w:r w:rsidRPr="009F4795">
        <w:t>eg</w:t>
      </w:r>
      <w:proofErr w:type="spellEnd"/>
      <w:r w:rsidRPr="009F4795">
        <w:t xml:space="preserve">, overlays, zones, growth limits, height limits, </w:t>
      </w:r>
      <w:proofErr w:type="spellStart"/>
      <w:r w:rsidRPr="009F4795">
        <w:t>etc</w:t>
      </w:r>
      <w:proofErr w:type="spellEnd"/>
      <w:r w:rsidRPr="009F4795">
        <w:t>).</w:t>
      </w:r>
      <w:r>
        <w:t xml:space="preserve"> Plan-</w:t>
      </w:r>
      <w:r w:rsidR="00CF2B39">
        <w:t>7</w:t>
      </w:r>
      <w:r>
        <w:t>enabled capacity may include:</w:t>
      </w:r>
    </w:p>
    <w:p w:rsidR="009E0C89" w:rsidRDefault="009E0C89" w:rsidP="00BE4AEB">
      <w:pPr>
        <w:pStyle w:val="Bullet"/>
      </w:pPr>
      <w:r>
        <w:t>zoned, undeveloped land in green fields areas that is not yet serviced with infrastructure</w:t>
      </w:r>
    </w:p>
    <w:p w:rsidR="009E0C89" w:rsidRDefault="009E0C89" w:rsidP="00BE4AEB">
      <w:pPr>
        <w:pStyle w:val="Bullet"/>
      </w:pPr>
      <w:r>
        <w:t>zoned, undeveloped land that is serviced with infrastructure</w:t>
      </w:r>
    </w:p>
    <w:p w:rsidR="009E0C89" w:rsidRPr="009F4795" w:rsidRDefault="009E0C89" w:rsidP="00BE4AEB">
      <w:pPr>
        <w:pStyle w:val="Bullet"/>
      </w:pPr>
      <w:proofErr w:type="gramStart"/>
      <w:r>
        <w:t>zoned</w:t>
      </w:r>
      <w:proofErr w:type="gramEnd"/>
      <w:r>
        <w:t xml:space="preserve"> land in existing urban areas that already developed, but could be redeveloped to a greater height/density or for a different use under the rules</w:t>
      </w:r>
      <w:r w:rsidR="00BE4AEB">
        <w:t>.</w:t>
      </w:r>
    </w:p>
    <w:p w:rsidR="009E0C89" w:rsidRPr="005603BC" w:rsidRDefault="009E0C89" w:rsidP="00BE4AEB">
      <w:pPr>
        <w:pStyle w:val="Heading3"/>
      </w:pPr>
      <w:r w:rsidRPr="005603BC">
        <w:t xml:space="preserve">Land that is serviced with infrastructure </w:t>
      </w:r>
    </w:p>
    <w:p w:rsidR="009E0C89" w:rsidRDefault="009E0C89" w:rsidP="00BE4AEB">
      <w:pPr>
        <w:pStyle w:val="BodyText"/>
      </w:pPr>
      <w:r>
        <w:t xml:space="preserve">This is land that is connected to the transport and water, wastewater and </w:t>
      </w:r>
      <w:proofErr w:type="spellStart"/>
      <w:r>
        <w:t>stormwater</w:t>
      </w:r>
      <w:proofErr w:type="spellEnd"/>
      <w:r>
        <w:t xml:space="preserve"> networks. Some </w:t>
      </w:r>
      <w:proofErr w:type="gramStart"/>
      <w:r>
        <w:t>councils</w:t>
      </w:r>
      <w:proofErr w:type="gramEnd"/>
      <w:r>
        <w:t xml:space="preserve"> specify certain standards of service that must be met, and/or other infrastructure. Existing infrastructure might theoretically support development (</w:t>
      </w:r>
      <w:proofErr w:type="spellStart"/>
      <w:r>
        <w:t>eg</w:t>
      </w:r>
      <w:proofErr w:type="spellEnd"/>
      <w:r>
        <w:t xml:space="preserve">, such as 30-storey buildings) that is not permitted by the resource management plan. </w:t>
      </w:r>
    </w:p>
    <w:p w:rsidR="009E0C89" w:rsidRPr="005603BC" w:rsidRDefault="009E0C89" w:rsidP="00BE4AEB">
      <w:pPr>
        <w:pStyle w:val="Heading3"/>
      </w:pPr>
      <w:r>
        <w:t>‘</w:t>
      </w:r>
      <w:r w:rsidRPr="005603BC">
        <w:t>Commercially feasible</w:t>
      </w:r>
      <w:r>
        <w:t>’</w:t>
      </w:r>
      <w:r w:rsidRPr="005603BC">
        <w:t xml:space="preserve"> development capacity</w:t>
      </w:r>
    </w:p>
    <w:p w:rsidR="009E0C89" w:rsidRPr="009F4795" w:rsidRDefault="009E0C89" w:rsidP="00BE4AEB">
      <w:pPr>
        <w:pStyle w:val="BodyText"/>
      </w:pPr>
      <w:r>
        <w:t>Commercially feasible development capacity is pl</w:t>
      </w:r>
      <w:r w:rsidRPr="009F4795">
        <w:t xml:space="preserve">an-enabled capacity that developers could make a commercial return on at </w:t>
      </w:r>
      <w:r>
        <w:t>a particular point in time, given a certain set of assumptions about the costs of development and the necessary return.</w:t>
      </w:r>
      <w:r w:rsidRPr="009F4795">
        <w:t xml:space="preserve"> </w:t>
      </w:r>
      <w:proofErr w:type="gramStart"/>
      <w:r>
        <w:t>it</w:t>
      </w:r>
      <w:proofErr w:type="gramEnd"/>
      <w:r>
        <w:t xml:space="preserve"> is usually assessed at the current time or in the short-term; assumptions about commercial feasibility in the medium and long-term necessarily become less certain and more speculative in nature.</w:t>
      </w:r>
      <w:r w:rsidRPr="009F4795">
        <w:t xml:space="preserve"> </w:t>
      </w:r>
      <w:r>
        <w:t>Commercial feasibility</w:t>
      </w:r>
      <w:r w:rsidRPr="009F4795">
        <w:t xml:space="preserve"> takes into account likely market demand and therefore sales revenue, and costs, of building properties of particular types and scales in particular locations.</w:t>
      </w:r>
      <w:r>
        <w:t xml:space="preserve"> Commercial feasibility is not a universally applicable concept, as social housing providers, for example, will have quite different development drivers. </w:t>
      </w:r>
    </w:p>
    <w:p w:rsidR="009E0C89" w:rsidRPr="005603BC" w:rsidRDefault="009E0C89" w:rsidP="00BE4AEB">
      <w:pPr>
        <w:pStyle w:val="Heading3"/>
      </w:pPr>
      <w:r w:rsidRPr="005603BC">
        <w:t xml:space="preserve">Business </w:t>
      </w:r>
      <w:r>
        <w:t>l</w:t>
      </w:r>
      <w:r w:rsidRPr="005603BC">
        <w:t>and</w:t>
      </w:r>
    </w:p>
    <w:p w:rsidR="009E0C89" w:rsidRDefault="009E0C89" w:rsidP="00BE4AEB">
      <w:pPr>
        <w:pStyle w:val="BodyText"/>
      </w:pPr>
      <w:r>
        <w:t xml:space="preserve">Business </w:t>
      </w:r>
      <w:r w:rsidRPr="009F4795">
        <w:t xml:space="preserve">land </w:t>
      </w:r>
      <w:r>
        <w:t>is land that</w:t>
      </w:r>
      <w:r w:rsidRPr="009F4795">
        <w:t xml:space="preserve"> is specifically zoned for productive economic uses.</w:t>
      </w:r>
      <w:r>
        <w:t xml:space="preserve"> </w:t>
      </w:r>
      <w:r w:rsidRPr="009F4795">
        <w:t xml:space="preserve">Every </w:t>
      </w:r>
      <w:r>
        <w:t>council</w:t>
      </w:r>
      <w:r w:rsidRPr="009F4795">
        <w:t xml:space="preserve"> </w:t>
      </w:r>
      <w:r>
        <w:t xml:space="preserve">has a distinct zoning typology, but ‘heavy </w:t>
      </w:r>
      <w:proofErr w:type="gramStart"/>
      <w:r>
        <w:t>industrial’, ‘light industrial’, ‘business park’</w:t>
      </w:r>
      <w:proofErr w:type="gramEnd"/>
      <w:r>
        <w:t xml:space="preserve"> and ‘retail’ zones are common. Many </w:t>
      </w:r>
      <w:proofErr w:type="gramStart"/>
      <w:r>
        <w:t>councils</w:t>
      </w:r>
      <w:proofErr w:type="gramEnd"/>
      <w:r>
        <w:t xml:space="preserve"> have ‘mixed use’ zones that allow a mix of different types of businesses and often also residential development. Some productive economic uses take place in areas that are not specifically zoned for it </w:t>
      </w:r>
      <w:proofErr w:type="spellStart"/>
      <w:r>
        <w:t>eg</w:t>
      </w:r>
      <w:proofErr w:type="spellEnd"/>
      <w:r>
        <w:t xml:space="preserve">, home childcare. </w:t>
      </w:r>
    </w:p>
    <w:p w:rsidR="009E0C89" w:rsidRPr="005B29AE" w:rsidRDefault="009E0C89" w:rsidP="00BE4AEB">
      <w:pPr>
        <w:pStyle w:val="Heading3"/>
      </w:pPr>
      <w:r w:rsidRPr="005B29AE">
        <w:t>Greenfield</w:t>
      </w:r>
      <w:r>
        <w:t xml:space="preserve"> land</w:t>
      </w:r>
    </w:p>
    <w:p w:rsidR="009E0C89" w:rsidRDefault="009E0C89" w:rsidP="00BE4AEB">
      <w:pPr>
        <w:pStyle w:val="BodyText"/>
      </w:pPr>
      <w:r>
        <w:t>Greenfield land is undeveloped land that is or has been used for agricultural or similar uses, but is zoned or will be zoned for development in future. Greenfield land is often located on the periphery of an established urban area and not necessarily yet served with infrastructure.</w:t>
      </w:r>
    </w:p>
    <w:p w:rsidR="009E0C89" w:rsidRPr="005B29AE" w:rsidRDefault="00BE4AEB" w:rsidP="00BE4AEB">
      <w:pPr>
        <w:pStyle w:val="Heading3"/>
      </w:pPr>
      <w:r>
        <w:t>Existing urban land</w:t>
      </w:r>
    </w:p>
    <w:p w:rsidR="009E0C89" w:rsidRDefault="009E0C89" w:rsidP="00BE4AEB">
      <w:pPr>
        <w:pStyle w:val="BodyText"/>
      </w:pPr>
      <w:r>
        <w:t>Existing urban land is developed land in an existing urban area that has some potential for redevelopment.</w:t>
      </w:r>
    </w:p>
    <w:p w:rsidR="009E0C89" w:rsidRPr="00761C37" w:rsidRDefault="009E0C89" w:rsidP="001F23F2">
      <w:pPr>
        <w:pStyle w:val="Heading1"/>
        <w:numPr>
          <w:ilvl w:val="0"/>
          <w:numId w:val="29"/>
        </w:numPr>
      </w:pPr>
      <w:bookmarkStart w:id="13" w:name="_Toc455071976"/>
      <w:bookmarkStart w:id="14" w:name="_Toc455410511"/>
      <w:bookmarkStart w:id="15" w:name="_Toc451436449"/>
      <w:r w:rsidRPr="00761C37">
        <w:t>Role of information in council decision-making</w:t>
      </w:r>
      <w:bookmarkEnd w:id="13"/>
      <w:bookmarkEnd w:id="14"/>
      <w:r w:rsidRPr="00761C37">
        <w:t xml:space="preserve"> </w:t>
      </w:r>
    </w:p>
    <w:p w:rsidR="009E0C89" w:rsidRPr="003A4A32" w:rsidRDefault="009E0C89" w:rsidP="003A4A32">
      <w:pPr>
        <w:pStyle w:val="Heading2"/>
        <w:spacing w:before="0"/>
      </w:pPr>
      <w:bookmarkStart w:id="16" w:name="_Toc455410512"/>
      <w:bookmarkEnd w:id="15"/>
      <w:r w:rsidRPr="00D47A61">
        <w:t>4.1.</w:t>
      </w:r>
      <w:r w:rsidRPr="003A4A32">
        <w:tab/>
      </w:r>
      <w:r w:rsidRPr="00D47A61">
        <w:t xml:space="preserve">Purpose of forecasting </w:t>
      </w:r>
      <w:r>
        <w:t xml:space="preserve">demand </w:t>
      </w:r>
      <w:r w:rsidRPr="00D47A61">
        <w:t>and capacity</w:t>
      </w:r>
      <w:r>
        <w:t xml:space="preserve"> for residential and business land</w:t>
      </w:r>
      <w:bookmarkEnd w:id="16"/>
      <w:r>
        <w:t xml:space="preserve"> </w:t>
      </w:r>
    </w:p>
    <w:p w:rsidR="009E0C89" w:rsidRDefault="009E0C89" w:rsidP="00BE4AEB">
      <w:pPr>
        <w:pStyle w:val="BodyText"/>
      </w:pPr>
      <w:r>
        <w:t xml:space="preserve">Good information is essential for good decisions, especially decisions that are long-lasting and can impact living standards and shape behaviour and investment decisions. </w:t>
      </w:r>
    </w:p>
    <w:p w:rsidR="009E0C89" w:rsidRDefault="009E0C89" w:rsidP="00BE4AEB">
      <w:pPr>
        <w:pStyle w:val="BodyText"/>
      </w:pPr>
      <w:r>
        <w:t>Councils in New Zealand make such decisions in relation to their most significant functions:</w:t>
      </w:r>
    </w:p>
    <w:p w:rsidR="009E0C89" w:rsidRDefault="0088114D" w:rsidP="00BE4AEB">
      <w:pPr>
        <w:pStyle w:val="Bullet"/>
      </w:pPr>
      <w:r>
        <w:t>t</w:t>
      </w:r>
      <w:r w:rsidR="009E0C89">
        <w:t>he provision of infrastructure, and the ongoing maintenance and operation of it, which falls under the Lo</w:t>
      </w:r>
      <w:r>
        <w:t>cal Government Act 2002 (LGA)</w:t>
      </w:r>
    </w:p>
    <w:p w:rsidR="009E0C89" w:rsidRDefault="0088114D" w:rsidP="00BE4AEB">
      <w:pPr>
        <w:pStyle w:val="Bullet"/>
      </w:pPr>
      <w:proofErr w:type="gramStart"/>
      <w:r>
        <w:t>l</w:t>
      </w:r>
      <w:r w:rsidR="009E0C89">
        <w:t>and</w:t>
      </w:r>
      <w:proofErr w:type="gramEnd"/>
      <w:r w:rsidR="009E0C89">
        <w:t xml:space="preserve"> use regulation under the Resource Management Act 1991 (RMA). </w:t>
      </w:r>
    </w:p>
    <w:p w:rsidR="009E0C89" w:rsidRPr="003D19B3" w:rsidRDefault="009E0C89" w:rsidP="00BE4AEB">
      <w:pPr>
        <w:pStyle w:val="BodyText"/>
      </w:pPr>
      <w:r w:rsidRPr="003D19B3">
        <w:t xml:space="preserve">Land is a scarce resource and in growing urban areas increasingly so. On behalf of their citizens, </w:t>
      </w:r>
      <w:r>
        <w:t>councils</w:t>
      </w:r>
      <w:r w:rsidRPr="003D19B3">
        <w:t xml:space="preserve"> have a long</w:t>
      </w:r>
      <w:r>
        <w:t>-</w:t>
      </w:r>
      <w:r w:rsidRPr="003D19B3">
        <w:t xml:space="preserve">term interest in land being used efficiently, and being allocated in a way that best meets social, economic, cultural and environmental well-being. </w:t>
      </w:r>
      <w:r>
        <w:t>Councils</w:t>
      </w:r>
      <w:r w:rsidRPr="003D19B3">
        <w:t xml:space="preserve"> balance these objectives against their imperatives to minimise the infrastructure costs and negative </w:t>
      </w:r>
      <w:r>
        <w:t>impacts</w:t>
      </w:r>
      <w:r w:rsidRPr="003D19B3">
        <w:t xml:space="preserve"> that development and land use can</w:t>
      </w:r>
      <w:r>
        <w:t xml:space="preserve"> create</w:t>
      </w:r>
      <w:r w:rsidRPr="003D19B3">
        <w:t>.</w:t>
      </w:r>
    </w:p>
    <w:p w:rsidR="009E0C89" w:rsidRPr="00294432" w:rsidRDefault="009E0C89" w:rsidP="00BE4AEB">
      <w:pPr>
        <w:pStyle w:val="BodyText"/>
        <w:rPr>
          <w:sz w:val="18"/>
        </w:rPr>
      </w:pPr>
      <w:r w:rsidRPr="003D19B3">
        <w:t xml:space="preserve">In this context, all </w:t>
      </w:r>
      <w:r>
        <w:t>councils</w:t>
      </w:r>
      <w:r w:rsidRPr="003D19B3">
        <w:t xml:space="preserve"> </w:t>
      </w:r>
      <w:r>
        <w:t>surveyed do appear to devote resources</w:t>
      </w:r>
      <w:r w:rsidRPr="003D19B3">
        <w:t xml:space="preserve"> </w:t>
      </w:r>
      <w:r>
        <w:t>to information about</w:t>
      </w:r>
      <w:r w:rsidRPr="003D19B3">
        <w:t xml:space="preserve"> demand for and supply of </w:t>
      </w:r>
      <w:r>
        <w:t xml:space="preserve">land and </w:t>
      </w:r>
      <w:r w:rsidRPr="003D19B3">
        <w:t>development capacity</w:t>
      </w:r>
      <w:r>
        <w:t>, through council officer time and funding for external consultants</w:t>
      </w:r>
      <w:r w:rsidRPr="003D19B3">
        <w:t>.</w:t>
      </w:r>
      <w:r>
        <w:t xml:space="preserve"> </w:t>
      </w:r>
      <w:r w:rsidRPr="006C4929">
        <w:t xml:space="preserve">Those with the highest growth pressures appear to </w:t>
      </w:r>
      <w:r>
        <w:t>allocate the most resources to it</w:t>
      </w:r>
      <w:r w:rsidRPr="006C4929">
        <w:t>.</w:t>
      </w:r>
    </w:p>
    <w:p w:rsidR="009E0C89" w:rsidRPr="00294432" w:rsidRDefault="009E0C89" w:rsidP="00BE4AEB">
      <w:pPr>
        <w:pStyle w:val="BodyText"/>
        <w:rPr>
          <w:sz w:val="18"/>
        </w:rPr>
      </w:pPr>
      <w:r>
        <w:t>Most of the people interviewed for this report are technical experts involved in producing the information. Some interviewees expressed their view that other council officers (including planners) and elected decision-makers may place less value on the information and weigh it up against other matters.</w:t>
      </w:r>
    </w:p>
    <w:p w:rsidR="009E0C89" w:rsidRDefault="009E0C89" w:rsidP="00BE4AEB">
      <w:pPr>
        <w:pStyle w:val="BodyText"/>
      </w:pPr>
      <w:r>
        <w:t xml:space="preserve">All of the interviewees considered that the primary use of the information is for long-term strategic planning, and the preparation of infrastructure plans and budgets under the LGA. Infrastructure is the main driver of local government expenditure. The information may also be used to calculate development </w:t>
      </w:r>
      <w:r w:rsidRPr="00EF0FC7">
        <w:t>contributions</w:t>
      </w:r>
      <w:r>
        <w:t xml:space="preserve"> to help fund infrastructure</w:t>
      </w:r>
      <w:r w:rsidRPr="00EF0FC7">
        <w:t>.</w:t>
      </w:r>
    </w:p>
    <w:p w:rsidR="009E0C89" w:rsidRPr="00EF0FC7" w:rsidRDefault="009E0C89" w:rsidP="00BE4AEB">
      <w:pPr>
        <w:pStyle w:val="BodyText"/>
      </w:pPr>
      <w:r>
        <w:t>The information can also be used as an input to joint strategic planning processes with other councils. Some interviewees considered that j</w:t>
      </w:r>
      <w:r w:rsidRPr="00EF0FC7">
        <w:t>oint forecasting and analysis has led to a greater degree of ‘buy in’ from decision-makers at the local territorial authority level to the wider strategic direction and outcomes</w:t>
      </w:r>
      <w:r>
        <w:t xml:space="preserve"> of joint strategic planning processes. </w:t>
      </w:r>
    </w:p>
    <w:p w:rsidR="00852857" w:rsidRDefault="009E0C89" w:rsidP="00BE4AEB">
      <w:pPr>
        <w:pStyle w:val="BodyText"/>
      </w:pPr>
      <w:r>
        <w:t xml:space="preserve">While all of the councils surveyed use the information to help develop and review resource management plans, the way this happens varies. For example, some of the interviewees noted that the information may not always show up in section 32 reports, although it was not within </w:t>
      </w:r>
    </w:p>
    <w:p w:rsidR="00852857" w:rsidRDefault="00852857">
      <w:pPr>
        <w:spacing w:before="0" w:after="200" w:line="276" w:lineRule="auto"/>
        <w:jc w:val="left"/>
      </w:pPr>
      <w:r>
        <w:br w:type="page"/>
      </w:r>
    </w:p>
    <w:p w:rsidR="009E0C89" w:rsidRPr="006C4929" w:rsidRDefault="009E0C89" w:rsidP="00BE4AEB">
      <w:pPr>
        <w:pStyle w:val="BodyText"/>
      </w:pPr>
      <w:proofErr w:type="gramStart"/>
      <w:r>
        <w:t>the</w:t>
      </w:r>
      <w:proofErr w:type="gramEnd"/>
      <w:r>
        <w:t xml:space="preserve"> scope of this research to review section 32 reports</w:t>
      </w:r>
      <w:r>
        <w:rPr>
          <w:rStyle w:val="FootnoteReference"/>
          <w:rFonts w:ascii="Arial" w:hAnsi="Arial" w:cs="Arial"/>
          <w:color w:val="000000" w:themeColor="text1"/>
        </w:rPr>
        <w:footnoteReference w:id="3"/>
      </w:r>
      <w:r>
        <w:t>. It is possible that this reflects a view that information about the environmental impacts of development is more important than information about demand and supply of development capacity. It may also indicate that some section 32 reports do not provide sufficient information for</w:t>
      </w:r>
      <w:r w:rsidRPr="006F0BCF">
        <w:rPr>
          <w:sz w:val="18"/>
        </w:rPr>
        <w:t xml:space="preserve"> </w:t>
      </w:r>
      <w:r w:rsidRPr="006C4929">
        <w:t xml:space="preserve">decision-makers to understand the </w:t>
      </w:r>
      <w:r>
        <w:t xml:space="preserve">full </w:t>
      </w:r>
      <w:r w:rsidRPr="006C4929">
        <w:t>costs and benefits of proposed regulations.</w:t>
      </w:r>
      <w:r>
        <w:t xml:space="preserve"> </w:t>
      </w:r>
    </w:p>
    <w:p w:rsidR="009E0C89" w:rsidRDefault="009E0C89" w:rsidP="00BE4AEB">
      <w:pPr>
        <w:pStyle w:val="BodyText"/>
      </w:pPr>
      <w:r>
        <w:t>In Auckland,</w:t>
      </w:r>
      <w:r w:rsidRPr="00523FB0">
        <w:t xml:space="preserve"> forecasting </w:t>
      </w:r>
      <w:r>
        <w:t xml:space="preserve">of future </w:t>
      </w:r>
      <w:r w:rsidRPr="00523FB0">
        <w:t xml:space="preserve">demand </w:t>
      </w:r>
      <w:r>
        <w:t xml:space="preserve">and development capacity </w:t>
      </w:r>
      <w:r w:rsidRPr="00523FB0">
        <w:t>informed</w:t>
      </w:r>
      <w:r>
        <w:t xml:space="preserve"> the Proposed Auckland Unitary Plan (PAUP)</w:t>
      </w:r>
      <w:r w:rsidRPr="00523FB0">
        <w:t xml:space="preserve"> as documented in the </w:t>
      </w:r>
      <w:r>
        <w:t xml:space="preserve">relevant </w:t>
      </w:r>
      <w:r w:rsidRPr="00523FB0">
        <w:t xml:space="preserve">section 32 </w:t>
      </w:r>
      <w:proofErr w:type="gramStart"/>
      <w:r w:rsidRPr="00523FB0">
        <w:t>report</w:t>
      </w:r>
      <w:proofErr w:type="gramEnd"/>
      <w:r>
        <w:t xml:space="preserve">. It appears that </w:t>
      </w:r>
      <w:r w:rsidRPr="00523FB0">
        <w:t xml:space="preserve">the modelling </w:t>
      </w:r>
      <w:r>
        <w:t>approaches (and in particular the commercial feasibility of development capacity) developed</w:t>
      </w:r>
      <w:r w:rsidRPr="00523FB0">
        <w:t xml:space="preserve"> significantly </w:t>
      </w:r>
      <w:r>
        <w:t xml:space="preserve">after notification of the PAUP, following the direction of the Independent Hearings Panel for submitters to undertake expert conferencing. </w:t>
      </w:r>
    </w:p>
    <w:p w:rsidR="009E0C89" w:rsidRPr="00523FB0" w:rsidRDefault="009E0C89" w:rsidP="00BE4AEB">
      <w:pPr>
        <w:pStyle w:val="BodyText"/>
      </w:pPr>
      <w:r w:rsidRPr="0088114D">
        <w:t xml:space="preserve">Modelling undertaken before the PAUP was publicly notified estimated that it would </w:t>
      </w:r>
      <w:r w:rsidR="007A2E1D">
        <w:t xml:space="preserve">be sufficient to </w:t>
      </w:r>
      <w:r w:rsidRPr="0088114D">
        <w:t xml:space="preserve">meet demand and achieve the desired </w:t>
      </w:r>
      <w:r w:rsidR="007A2E1D">
        <w:t xml:space="preserve">urban form. </w:t>
      </w:r>
      <w:r w:rsidRPr="0088114D">
        <w:t>However</w:t>
      </w:r>
      <w:r w:rsidR="007A2E1D">
        <w:t>,</w:t>
      </w:r>
      <w:r w:rsidRPr="0088114D">
        <w:t xml:space="preserve"> the additional expert conferencing directed by the AUPIHP on the analysis led to further work to estimate the commercial feasibility of available development opportunities. This</w:t>
      </w:r>
      <w:r w:rsidRPr="00523FB0">
        <w:t xml:space="preserve"> </w:t>
      </w:r>
      <w:r>
        <w:t xml:space="preserve">expert conferencing assessed different PAUP provisions using several iterations of a model developed in collaboration with property development experts. </w:t>
      </w:r>
      <w:r w:rsidR="007A2E1D">
        <w:t xml:space="preserve">The expert conferencing and modelling provided a wealth of information about the development capacity enabled by the PAUP, but it </w:t>
      </w:r>
      <w:r>
        <w:t xml:space="preserve">did not </w:t>
      </w:r>
      <w:r w:rsidR="007A2E1D">
        <w:t xml:space="preserve">result in </w:t>
      </w:r>
      <w:r>
        <w:t>a single view of the expert conferencing group on whether the residential development capacity enabled was adequate, or an agreed set of assumptions for further modelling</w:t>
      </w:r>
      <w:r w:rsidR="007A2E1D">
        <w:t xml:space="preserve">. </w:t>
      </w:r>
    </w:p>
    <w:p w:rsidR="009E0C89" w:rsidRPr="00EF0FC7" w:rsidRDefault="009E0C89" w:rsidP="00BE4AEB">
      <w:pPr>
        <w:pStyle w:val="BodyText"/>
      </w:pPr>
      <w:r>
        <w:t xml:space="preserve">Relatively few </w:t>
      </w:r>
      <w:proofErr w:type="gramStart"/>
      <w:r>
        <w:t>councils</w:t>
      </w:r>
      <w:proofErr w:type="gramEnd"/>
      <w:r>
        <w:t xml:space="preserve"> appear to be using the information generated through de</w:t>
      </w:r>
      <w:r w:rsidRPr="00EF0FC7">
        <w:t xml:space="preserve">mand forecasting and </w:t>
      </w:r>
      <w:r>
        <w:t xml:space="preserve">development </w:t>
      </w:r>
      <w:r w:rsidRPr="00EF0FC7">
        <w:t xml:space="preserve">capacity analyses </w:t>
      </w:r>
      <w:r>
        <w:t xml:space="preserve">to inform decisions on </w:t>
      </w:r>
      <w:r w:rsidRPr="00EF0FC7">
        <w:t>resource consent applications and plan changes</w:t>
      </w:r>
      <w:r>
        <w:t xml:space="preserve">. </w:t>
      </w:r>
    </w:p>
    <w:p w:rsidR="009E0C89" w:rsidRPr="00456F6E" w:rsidRDefault="00592D95" w:rsidP="003A4A32">
      <w:pPr>
        <w:pStyle w:val="Heading2"/>
      </w:pPr>
      <w:bookmarkStart w:id="17" w:name="_Toc455071977"/>
      <w:bookmarkStart w:id="18" w:name="_Toc455410513"/>
      <w:r>
        <w:t>4.2</w:t>
      </w:r>
      <w:r>
        <w:tab/>
      </w:r>
      <w:r w:rsidR="009E0C89">
        <w:t>Quality of</w:t>
      </w:r>
      <w:r w:rsidR="009E0C89" w:rsidRPr="00456F6E">
        <w:t xml:space="preserve"> information </w:t>
      </w:r>
      <w:r w:rsidR="009E0C89">
        <w:t>translated</w:t>
      </w:r>
      <w:r w:rsidR="009E0C89" w:rsidRPr="00456F6E">
        <w:t xml:space="preserve"> into decisions</w:t>
      </w:r>
      <w:bookmarkEnd w:id="17"/>
      <w:bookmarkEnd w:id="18"/>
    </w:p>
    <w:p w:rsidR="009E0C89" w:rsidRDefault="009E0C89" w:rsidP="00592D95">
      <w:pPr>
        <w:pStyle w:val="BodyText"/>
      </w:pPr>
      <w:r w:rsidRPr="00D47A61">
        <w:t xml:space="preserve">Key informants </w:t>
      </w:r>
      <w:r>
        <w:t>interviewed for this report</w:t>
      </w:r>
      <w:r w:rsidRPr="00D47A61">
        <w:t xml:space="preserve"> generally </w:t>
      </w:r>
      <w:r>
        <w:t xml:space="preserve">view the information developed by or on behalf of councils as </w:t>
      </w:r>
      <w:r w:rsidRPr="00D47A61">
        <w:t>high quality and provid</w:t>
      </w:r>
      <w:r>
        <w:t>ing</w:t>
      </w:r>
      <w:r w:rsidRPr="00D47A61">
        <w:t xml:space="preserve"> a robust platform</w:t>
      </w:r>
      <w:r>
        <w:t xml:space="preserve"> to support decision-makers</w:t>
      </w:r>
      <w:r w:rsidRPr="00D47A61">
        <w:t xml:space="preserve">. </w:t>
      </w:r>
    </w:p>
    <w:p w:rsidR="009E0C89" w:rsidRPr="002B6E0B" w:rsidRDefault="009E0C89" w:rsidP="00592D95">
      <w:pPr>
        <w:pStyle w:val="BodyText"/>
      </w:pPr>
      <w:r w:rsidRPr="002B6E0B">
        <w:t>However,</w:t>
      </w:r>
      <w:r w:rsidRPr="002B1B2F">
        <w:t xml:space="preserve"> </w:t>
      </w:r>
      <w:r w:rsidRPr="002B6E0B">
        <w:t>it appears that some analysis</w:t>
      </w:r>
      <w:r w:rsidRPr="002B1B2F">
        <w:t xml:space="preserve"> </w:t>
      </w:r>
      <w:r w:rsidRPr="002B6E0B">
        <w:t>has been subject to criticism in submissions and hearings on resource management plans. Submissions have raised issues such as:</w:t>
      </w:r>
    </w:p>
    <w:p w:rsidR="009E0C89" w:rsidRPr="002B6E0B" w:rsidRDefault="009E0C89" w:rsidP="00592D95">
      <w:pPr>
        <w:pStyle w:val="Bullet"/>
      </w:pPr>
      <w:r w:rsidRPr="002B6E0B">
        <w:t>the high degree of variability between council approaches</w:t>
      </w:r>
    </w:p>
    <w:p w:rsidR="009E0C89" w:rsidRPr="002B6E0B" w:rsidRDefault="009E0C89" w:rsidP="00592D95">
      <w:pPr>
        <w:pStyle w:val="Bullet"/>
      </w:pPr>
      <w:r w:rsidRPr="002B6E0B">
        <w:t>lack of transparency around assumptions</w:t>
      </w:r>
    </w:p>
    <w:p w:rsidR="009E0C89" w:rsidRPr="002B6E0B" w:rsidRDefault="009E0C89" w:rsidP="00592D95">
      <w:pPr>
        <w:pStyle w:val="Bullet"/>
      </w:pPr>
      <w:r w:rsidRPr="002B6E0B">
        <w:t>unrealistic future expectations for a district</w:t>
      </w:r>
    </w:p>
    <w:p w:rsidR="009E0C89" w:rsidRPr="002B6E0B" w:rsidRDefault="009E0C89" w:rsidP="00592D95">
      <w:pPr>
        <w:pStyle w:val="Bullet"/>
      </w:pPr>
      <w:proofErr w:type="gramStart"/>
      <w:r w:rsidRPr="002B6E0B">
        <w:t>poor</w:t>
      </w:r>
      <w:proofErr w:type="gramEnd"/>
      <w:r w:rsidRPr="002B6E0B">
        <w:t xml:space="preserve"> understanding of the property market.</w:t>
      </w:r>
    </w:p>
    <w:p w:rsidR="009E0C89" w:rsidRDefault="00592D95" w:rsidP="00592D95">
      <w:pPr>
        <w:pStyle w:val="BodyText"/>
      </w:pPr>
      <w:r>
        <w:t>E</w:t>
      </w:r>
      <w:r w:rsidR="009E0C89">
        <w:t xml:space="preserve">stimating demand and development capacity, however, is a complex, data-centric technical process, and this means that the results may be at risk of being misunderstood, and even misused by non-technical audiences. These audiences include council officers commissioning external consultants, planners, elected members, plan submitters and the Environment Court. </w:t>
      </w:r>
    </w:p>
    <w:p w:rsidR="009E0C89" w:rsidRDefault="009E0C89" w:rsidP="00592D95">
      <w:pPr>
        <w:pStyle w:val="BodyText"/>
      </w:pPr>
      <w:r>
        <w:t xml:space="preserve">Some interviewees considered </w:t>
      </w:r>
      <w:r w:rsidRPr="00D47A61">
        <w:t xml:space="preserve">that while the assumptions and limitations of </w:t>
      </w:r>
      <w:r>
        <w:t xml:space="preserve">analysis </w:t>
      </w:r>
      <w:r w:rsidRPr="00D47A61">
        <w:t>are well documented, they are generally poorly understood.</w:t>
      </w:r>
      <w:bookmarkStart w:id="19" w:name="_Toc447414373"/>
      <w:bookmarkEnd w:id="19"/>
      <w:r>
        <w:t xml:space="preserve"> It may be that p</w:t>
      </w:r>
      <w:r w:rsidRPr="00D47A61">
        <w:t xml:space="preserve">lanners </w:t>
      </w:r>
      <w:r>
        <w:t xml:space="preserve">do </w:t>
      </w:r>
      <w:r w:rsidRPr="00D47A61">
        <w:t xml:space="preserve">not </w:t>
      </w:r>
      <w:r>
        <w:t xml:space="preserve">always </w:t>
      </w:r>
      <w:r w:rsidRPr="00D47A61">
        <w:t xml:space="preserve">have </w:t>
      </w:r>
      <w:r>
        <w:t>the requisite technical knowledge</w:t>
      </w:r>
      <w:r w:rsidRPr="00D47A61">
        <w:t xml:space="preserve"> to scope the relevant residential or business research, </w:t>
      </w:r>
      <w:r>
        <w:t>and</w:t>
      </w:r>
      <w:r w:rsidRPr="002639F8">
        <w:t xml:space="preserve"> they may interpret the information differently </w:t>
      </w:r>
      <w:r>
        <w:t>to</w:t>
      </w:r>
      <w:r w:rsidRPr="002639F8">
        <w:t xml:space="preserve"> technical experts.</w:t>
      </w:r>
      <w:r w:rsidRPr="00D47A61">
        <w:t xml:space="preserve"> </w:t>
      </w:r>
      <w:r>
        <w:t xml:space="preserve">They may also over-rely on partial information or information that is only a snapshot in time. </w:t>
      </w:r>
      <w:r w:rsidRPr="00D47A61">
        <w:t>This</w:t>
      </w:r>
      <w:r>
        <w:t xml:space="preserve"> would</w:t>
      </w:r>
      <w:r w:rsidRPr="00D47A61">
        <w:t xml:space="preserve"> impact </w:t>
      </w:r>
      <w:r>
        <w:t xml:space="preserve">on </w:t>
      </w:r>
      <w:r w:rsidRPr="00D47A61">
        <w:t xml:space="preserve">the quality of policy </w:t>
      </w:r>
      <w:r>
        <w:t xml:space="preserve">advice </w:t>
      </w:r>
      <w:r w:rsidRPr="00D47A61">
        <w:t xml:space="preserve">and section 32 </w:t>
      </w:r>
      <w:proofErr w:type="gramStart"/>
      <w:r w:rsidRPr="00D47A61">
        <w:t>analysis</w:t>
      </w:r>
      <w:proofErr w:type="gramEnd"/>
      <w:r w:rsidRPr="00D47A61">
        <w:t xml:space="preserve">. </w:t>
      </w:r>
      <w:r w:rsidRPr="003C2AC6">
        <w:t>On the other hand, when analysis is scrutinised by external experts or legal counsel it can be undermined.</w:t>
      </w:r>
    </w:p>
    <w:p w:rsidR="009E0C89" w:rsidRPr="00D47A61" w:rsidRDefault="009E0C89" w:rsidP="00592D95">
      <w:pPr>
        <w:pStyle w:val="BodyText"/>
      </w:pPr>
      <w:r>
        <w:t>It appears that the more sophisticated the evidence, the more it is debated. In addition, it places greater demands on the capabilities of both those producing and those using the work. This has been evident during the PAUP hearings, as modelling has been expanded to take into account the commercial</w:t>
      </w:r>
      <w:r w:rsidRPr="00D47A61">
        <w:t xml:space="preserve"> feasibility</w:t>
      </w:r>
      <w:r>
        <w:t xml:space="preserve"> of development capacity</w:t>
      </w:r>
      <w:r w:rsidRPr="00D47A61">
        <w:t>.</w:t>
      </w:r>
    </w:p>
    <w:p w:rsidR="009E0C89" w:rsidRPr="00456F6E" w:rsidRDefault="009E70AE" w:rsidP="003A4A32">
      <w:pPr>
        <w:pStyle w:val="Heading2"/>
      </w:pPr>
      <w:bookmarkStart w:id="20" w:name="_Toc450660775"/>
      <w:bookmarkStart w:id="21" w:name="_Toc451436454"/>
      <w:bookmarkStart w:id="22" w:name="_Toc455071978"/>
      <w:bookmarkStart w:id="23" w:name="_Toc455410514"/>
      <w:r>
        <w:t>4.3</w:t>
      </w:r>
      <w:r>
        <w:tab/>
      </w:r>
      <w:r w:rsidR="009E0C89" w:rsidRPr="00456F6E">
        <w:t>Collaboration between councils</w:t>
      </w:r>
      <w:bookmarkEnd w:id="20"/>
      <w:bookmarkEnd w:id="21"/>
      <w:r w:rsidR="009E0C89">
        <w:t xml:space="preserve"> that share jurisdiction over an urban area</w:t>
      </w:r>
      <w:bookmarkEnd w:id="22"/>
      <w:bookmarkEnd w:id="23"/>
    </w:p>
    <w:p w:rsidR="009E0C89" w:rsidRPr="00C67907" w:rsidRDefault="009E0C89" w:rsidP="009E0C89">
      <w:pPr>
        <w:pStyle w:val="INTROtext"/>
        <w:spacing w:before="240"/>
        <w:rPr>
          <w:rFonts w:ascii="Arial" w:hAnsi="Arial" w:cs="Arial"/>
          <w:color w:val="000000" w:themeColor="text1"/>
          <w:sz w:val="22"/>
          <w:szCs w:val="22"/>
        </w:rPr>
      </w:pPr>
      <w:r>
        <w:rPr>
          <w:rFonts w:ascii="Arial" w:hAnsi="Arial" w:cs="Arial"/>
          <w:color w:val="000000" w:themeColor="text1"/>
          <w:sz w:val="22"/>
          <w:szCs w:val="22"/>
        </w:rPr>
        <w:t>The following table summarises the extent to which the councils surveyed collaborate with in undertaking demand and development capacity analysis</w:t>
      </w:r>
      <w:r w:rsidRPr="00C67907">
        <w:rPr>
          <w:rFonts w:ascii="Arial" w:hAnsi="Arial" w:cs="Arial"/>
          <w:color w:val="000000" w:themeColor="text1"/>
          <w:sz w:val="22"/>
          <w:szCs w:val="22"/>
        </w:rPr>
        <w:t>.</w:t>
      </w:r>
      <w:r>
        <w:rPr>
          <w:rFonts w:ascii="Arial" w:hAnsi="Arial" w:cs="Arial"/>
          <w:color w:val="000000" w:themeColor="text1"/>
          <w:sz w:val="22"/>
          <w:szCs w:val="22"/>
        </w:rPr>
        <w:t xml:space="preserve"> The degree of collaboration has been assessed on the basis of publicly available information and interviewees’ responses to questions about the contact between councils. High levels of collaboration involve</w:t>
      </w:r>
      <w:r w:rsidRPr="0097199C">
        <w:rPr>
          <w:rFonts w:ascii="Arial" w:hAnsi="Arial" w:cs="Arial"/>
          <w:color w:val="000000" w:themeColor="text1"/>
          <w:sz w:val="22"/>
          <w:szCs w:val="22"/>
        </w:rPr>
        <w:t xml:space="preserve"> </w:t>
      </w:r>
      <w:r>
        <w:rPr>
          <w:rFonts w:ascii="Arial" w:hAnsi="Arial" w:cs="Arial"/>
          <w:color w:val="000000" w:themeColor="text1"/>
          <w:sz w:val="22"/>
          <w:szCs w:val="22"/>
        </w:rPr>
        <w:t>the use of common data, joint research and modelling of both demand and development capacity, and shared results that influence decisions. Low levels of collaboration are limited to infrequent information sharing between councils.</w:t>
      </w:r>
    </w:p>
    <w:p w:rsidR="009E0C89" w:rsidRPr="00476B33" w:rsidRDefault="009E0C89" w:rsidP="009E70AE">
      <w:pPr>
        <w:pStyle w:val="Tableheading"/>
      </w:pPr>
      <w:r w:rsidRPr="00476B33">
        <w:t xml:space="preserve">Table </w:t>
      </w:r>
      <w:r w:rsidR="009E70AE">
        <w:t>1</w:t>
      </w:r>
      <w:r w:rsidRPr="00476B33">
        <w:t xml:space="preserve">: </w:t>
      </w:r>
      <w:r>
        <w:t>L</w:t>
      </w:r>
      <w:r w:rsidRPr="00476B33">
        <w:t xml:space="preserve">evel of </w:t>
      </w:r>
      <w:r>
        <w:t xml:space="preserve">council </w:t>
      </w:r>
      <w:r w:rsidRPr="00476B33">
        <w:t xml:space="preserve">collaboration </w:t>
      </w:r>
      <w:r>
        <w:t>across shared urban areas</w:t>
      </w:r>
    </w:p>
    <w:tbl>
      <w:tblPr>
        <w:tblStyle w:val="TableGrid"/>
        <w:tblW w:w="0" w:type="auto"/>
        <w:tblInd w:w="108" w:type="dxa"/>
        <w:tblLayout w:type="fixed"/>
        <w:tblLook w:val="04A0" w:firstRow="1" w:lastRow="0" w:firstColumn="1" w:lastColumn="0" w:noHBand="0" w:noVBand="1"/>
      </w:tblPr>
      <w:tblGrid>
        <w:gridCol w:w="3119"/>
        <w:gridCol w:w="1162"/>
        <w:gridCol w:w="1162"/>
        <w:gridCol w:w="1163"/>
        <w:gridCol w:w="1162"/>
        <w:gridCol w:w="1163"/>
      </w:tblGrid>
      <w:tr w:rsidR="009E0C89" w:rsidRPr="009E70AE" w:rsidTr="001B431E">
        <w:tc>
          <w:tcPr>
            <w:tcW w:w="3119" w:type="dxa"/>
            <w:vMerge w:val="restart"/>
            <w:tcBorders>
              <w:top w:val="single" w:sz="4" w:space="0" w:color="677719"/>
              <w:left w:val="nil"/>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hAnsiTheme="minorHAnsi" w:cs="Arial"/>
                <w:b/>
                <w:sz w:val="18"/>
                <w:szCs w:val="18"/>
              </w:rPr>
            </w:pPr>
            <w:r w:rsidRPr="009E70AE">
              <w:rPr>
                <w:rFonts w:asciiTheme="minorHAnsi" w:hAnsiTheme="minorHAnsi" w:cs="Arial"/>
                <w:b/>
                <w:sz w:val="18"/>
                <w:szCs w:val="18"/>
              </w:rPr>
              <w:t>Council</w:t>
            </w:r>
          </w:p>
        </w:tc>
        <w:tc>
          <w:tcPr>
            <w:tcW w:w="5812" w:type="dxa"/>
            <w:gridSpan w:val="5"/>
            <w:tcBorders>
              <w:top w:val="single" w:sz="4" w:space="0" w:color="677719"/>
              <w:left w:val="single" w:sz="4" w:space="0" w:color="677719"/>
              <w:bottom w:val="single" w:sz="4" w:space="0" w:color="677719"/>
              <w:right w:val="nil"/>
            </w:tcBorders>
          </w:tcPr>
          <w:p w:rsidR="009E0C89" w:rsidRPr="009E70AE" w:rsidRDefault="009E0C89" w:rsidP="009E0C89">
            <w:pPr>
              <w:pStyle w:val="Header"/>
              <w:spacing w:before="60" w:after="60"/>
              <w:jc w:val="left"/>
              <w:rPr>
                <w:rFonts w:asciiTheme="minorHAnsi" w:hAnsiTheme="minorHAnsi" w:cs="Arial"/>
                <w:b/>
                <w:sz w:val="18"/>
                <w:szCs w:val="18"/>
              </w:rPr>
            </w:pPr>
            <w:r w:rsidRPr="009E70AE">
              <w:rPr>
                <w:rFonts w:asciiTheme="minorHAnsi" w:hAnsiTheme="minorHAnsi" w:cs="Arial"/>
                <w:b/>
                <w:sz w:val="18"/>
                <w:szCs w:val="18"/>
              </w:rPr>
              <w:t>Collaboration across shared urban area</w:t>
            </w:r>
          </w:p>
        </w:tc>
      </w:tr>
      <w:tr w:rsidR="009E0C89" w:rsidRPr="009E70AE" w:rsidTr="001B431E">
        <w:tc>
          <w:tcPr>
            <w:tcW w:w="3119" w:type="dxa"/>
            <w:vMerge/>
            <w:tcBorders>
              <w:top w:val="single" w:sz="4" w:space="0" w:color="677719"/>
              <w:left w:val="nil"/>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hAnsiTheme="minorHAnsi" w:cs="Arial"/>
                <w:b/>
                <w:sz w:val="18"/>
                <w:szCs w:val="18"/>
              </w:rPr>
            </w:pPr>
          </w:p>
        </w:tc>
        <w:tc>
          <w:tcPr>
            <w:tcW w:w="1162" w:type="dxa"/>
            <w:tcBorders>
              <w:top w:val="single" w:sz="4" w:space="0" w:color="677719"/>
              <w:left w:val="single" w:sz="4" w:space="0" w:color="677719"/>
              <w:bottom w:val="single" w:sz="4" w:space="0" w:color="677719"/>
              <w:right w:val="nil"/>
            </w:tcBorders>
          </w:tcPr>
          <w:p w:rsidR="009E0C89" w:rsidRPr="009E70AE" w:rsidRDefault="009E0C89" w:rsidP="009E0C89">
            <w:pPr>
              <w:pStyle w:val="Header"/>
              <w:spacing w:before="60" w:after="60"/>
              <w:jc w:val="left"/>
              <w:rPr>
                <w:rFonts w:asciiTheme="minorHAnsi" w:hAnsiTheme="minorHAnsi" w:cs="Arial"/>
                <w:b/>
                <w:sz w:val="18"/>
                <w:szCs w:val="18"/>
              </w:rPr>
            </w:pPr>
            <w:r w:rsidRPr="009E70AE">
              <w:rPr>
                <w:rFonts w:asciiTheme="minorHAnsi" w:hAnsiTheme="minorHAnsi" w:cs="Arial"/>
                <w:b/>
                <w:sz w:val="18"/>
                <w:szCs w:val="18"/>
              </w:rPr>
              <w:t>High</w:t>
            </w:r>
          </w:p>
        </w:tc>
        <w:tc>
          <w:tcPr>
            <w:tcW w:w="3487" w:type="dxa"/>
            <w:gridSpan w:val="3"/>
            <w:tcBorders>
              <w:top w:val="single" w:sz="4" w:space="0" w:color="677719"/>
              <w:left w:val="nil"/>
              <w:bottom w:val="single" w:sz="4" w:space="0" w:color="677719"/>
              <w:right w:val="nil"/>
            </w:tcBorders>
          </w:tcPr>
          <w:p w:rsidR="009E0C89" w:rsidRPr="009E70AE" w:rsidRDefault="006376AD" w:rsidP="009E0C89">
            <w:pPr>
              <w:pStyle w:val="Header"/>
              <w:spacing w:before="60" w:after="60"/>
              <w:jc w:val="left"/>
              <w:rPr>
                <w:rFonts w:asciiTheme="minorHAnsi" w:hAnsiTheme="minorHAnsi" w:cs="Arial"/>
                <w:b/>
                <w:color w:val="000000" w:themeColor="text1"/>
                <w:sz w:val="18"/>
                <w:szCs w:val="18"/>
              </w:rPr>
            </w:pPr>
            <w:r>
              <w:rPr>
                <w:rFonts w:asciiTheme="minorHAnsi" w:hAnsiTheme="minorHAnsi"/>
                <w:noProof/>
                <w:sz w:val="18"/>
                <w:szCs w:val="18"/>
              </w:rPr>
              <w:pict>
                <v:shapetype id="_x0000_t32" coordsize="21600,21600" o:spt="32" o:oned="t" path="m,l21600,21600e" filled="f">
                  <v:path arrowok="t" fillok="f" o:connecttype="none"/>
                  <o:lock v:ext="edit" shapetype="t"/>
                </v:shapetype>
                <v:shape id="Straight Arrow Connector 3" o:spid="_x0000_s1026" type="#_x0000_t32" style="position:absolute;margin-left:-3.45pt;margin-top:7.75pt;width:17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kI7gEAAEoEAAAOAAAAZHJzL2Uyb0RvYy54bWysVNuO0zAQfUfiHyy/0yRdiUVV0xXqsrwg&#10;qFj4ANcZN5Z809g06d8zdtIslxVIiDxM7Nhn5pzjcbZ3ozXsDBi1dy1vVjVn4KTvtDu1/OuXh1dv&#10;OItJuE4Y76DlF4j8bvfyxXYIG1j73psOkFESFzdDaHmfUthUVZQ9WBFXPoCjReXRikRTPFUdioGy&#10;W1Ot6/p1NXjsAnoJMdLX+2mR70p+pUCmT0pFSMy0nLilErHEY47Vbis2JxSh13KmIf6BhRXaUdEl&#10;1b1Ign1D/VsqqyX66FVaSW8rr5SWUDSQmqb+Rc1jLwIULWRODItN8f+llR/PB2S6a/kNZ05YOqLH&#10;hEKf+sTeIvqB7b1zZKNHdpPdGkLcEGjvDjjPYjhglj4qtPlNothYHL4sDsOYmKSP6+a2ua3pIOR1&#10;rXoCBozpPXjL8qDlceaxEGiKw+L8ISYqTcArIFc1Lsfoje4etDFlgqfj3iA7i3z45ckKCPjTth5E&#10;9851LF0CqRdZ9NQWSWjzzALhc7EqOzFpL6N0MTAR+QyKHM1qC+HSy7AQEVKCS83MxDjanWGKSC/A&#10;+u/AeX+GQunzBTzZ9MeqC6JU9i4tYKudx+eqp/FKWU37rw5MurMFR99dSlcUa6hhi9fz5co34sd5&#10;gT/9AnbfAQAA//8DAFBLAwQUAAYACAAAACEAwUsbaN0AAAAIAQAADwAAAGRycy9kb3ducmV2Lnht&#10;bEyPwU7DMBBE70j8g7VI3FqnhFQQ4lQVERyQODQgcd3Gbmyw11HspunfY8QBjjszmn1TbWZn2aTG&#10;YDwJWC0zYIo6Lw31At7fnhZ3wEJEkmg9KQFnFWBTX15UWEp/op2a2tizVEKhRAE6xqHkPHRaOQxL&#10;PyhK3sGPDmM6x57LEU+p3Fl+k2Vr7tBQ+qBxUI9adV/t0QmwH03+Yqb2tZlQm8P2+fP2bBshrq/m&#10;7QOwqOb4F4Yf/IQOdWLa+yPJwKyAxfo+JZNeFMCSn+fFCtj+V+B1xf8PqL8BAAD//wMAUEsBAi0A&#10;FAAGAAgAAAAhALaDOJL+AAAA4QEAABMAAAAAAAAAAAAAAAAAAAAAAFtDb250ZW50X1R5cGVzXS54&#10;bWxQSwECLQAUAAYACAAAACEAOP0h/9YAAACUAQAACwAAAAAAAAAAAAAAAAAvAQAAX3JlbHMvLnJl&#10;bHNQSwECLQAUAAYACAAAACEASCU5CO4BAABKBAAADgAAAAAAAAAAAAAAAAAuAgAAZHJzL2Uyb0Rv&#10;Yy54bWxQSwECLQAUAAYACAAAACEAwUsbaN0AAAAIAQAADwAAAAAAAAAAAAAAAABIBAAAZHJzL2Rv&#10;d25yZXYueG1sUEsFBgAAAAAEAAQA8wAAAFIFAAAAAA==&#10;" strokeweight="2pt">
                  <v:stroke startarrow="open" endarrow="open"/>
                  <v:shadow on="t" color="black" opacity="24903f" origin=",.5" offset="0,.55556mm"/>
                </v:shape>
              </w:pict>
            </w:r>
          </w:p>
        </w:tc>
        <w:tc>
          <w:tcPr>
            <w:tcW w:w="1163" w:type="dxa"/>
            <w:tcBorders>
              <w:top w:val="single" w:sz="4" w:space="0" w:color="677719"/>
              <w:left w:val="nil"/>
              <w:bottom w:val="single" w:sz="4" w:space="0" w:color="677719"/>
              <w:right w:val="nil"/>
            </w:tcBorders>
          </w:tcPr>
          <w:p w:rsidR="009E0C89" w:rsidRPr="009E70AE" w:rsidRDefault="009E0C89" w:rsidP="009E0C89">
            <w:pPr>
              <w:pStyle w:val="Header"/>
              <w:spacing w:before="60" w:after="60"/>
              <w:jc w:val="left"/>
              <w:rPr>
                <w:rFonts w:asciiTheme="minorHAnsi" w:hAnsiTheme="minorHAnsi" w:cs="Arial"/>
                <w:b/>
                <w:color w:val="000000" w:themeColor="text1"/>
                <w:sz w:val="18"/>
                <w:szCs w:val="18"/>
              </w:rPr>
            </w:pPr>
            <w:r w:rsidRPr="009E70AE">
              <w:rPr>
                <w:rFonts w:asciiTheme="minorHAnsi" w:hAnsiTheme="minorHAnsi" w:cs="Arial"/>
                <w:b/>
                <w:color w:val="000000" w:themeColor="text1"/>
                <w:sz w:val="18"/>
                <w:szCs w:val="18"/>
              </w:rPr>
              <w:t>Low</w:t>
            </w:r>
          </w:p>
        </w:tc>
      </w:tr>
      <w:tr w:rsidR="009E0C89" w:rsidRPr="009E70AE" w:rsidTr="001B431E">
        <w:tc>
          <w:tcPr>
            <w:tcW w:w="3119" w:type="dxa"/>
            <w:tcBorders>
              <w:top w:val="single" w:sz="4" w:space="0" w:color="677719"/>
              <w:left w:val="nil"/>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r w:rsidRPr="009E70AE">
              <w:rPr>
                <w:rFonts w:asciiTheme="minorHAnsi" w:hAnsiTheme="minorHAnsi" w:cs="Arial"/>
                <w:sz w:val="18"/>
                <w:szCs w:val="18"/>
              </w:rPr>
              <w:t>Auckland</w:t>
            </w: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r w:rsidRPr="009E70AE">
              <w:rPr>
                <w:rFonts w:asciiTheme="minorHAnsi" w:eastAsiaTheme="minorHAnsi" w:hAnsiTheme="minorHAnsi" w:cs="Arial"/>
                <w:sz w:val="18"/>
                <w:szCs w:val="18"/>
                <w:lang w:eastAsia="en-US"/>
              </w:rPr>
              <w:t>N/A</w:t>
            </w: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nil"/>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r>
      <w:tr w:rsidR="009E0C89" w:rsidRPr="009E70AE" w:rsidTr="001B431E">
        <w:tc>
          <w:tcPr>
            <w:tcW w:w="3119" w:type="dxa"/>
            <w:tcBorders>
              <w:top w:val="single" w:sz="4" w:space="0" w:color="677719"/>
              <w:left w:val="nil"/>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r w:rsidRPr="009E70AE">
              <w:rPr>
                <w:rFonts w:asciiTheme="minorHAnsi" w:hAnsiTheme="minorHAnsi" w:cs="Arial"/>
                <w:sz w:val="18"/>
                <w:szCs w:val="18"/>
              </w:rPr>
              <w:t>Hamilton City</w:t>
            </w: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1F23F2">
            <w:pPr>
              <w:pStyle w:val="Header"/>
              <w:numPr>
                <w:ilvl w:val="0"/>
                <w:numId w:val="22"/>
              </w:numP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nil"/>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r>
      <w:tr w:rsidR="009E0C89" w:rsidRPr="009E70AE" w:rsidTr="001B431E">
        <w:tc>
          <w:tcPr>
            <w:tcW w:w="3119" w:type="dxa"/>
            <w:tcBorders>
              <w:top w:val="single" w:sz="4" w:space="0" w:color="677719"/>
              <w:left w:val="nil"/>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r w:rsidRPr="009E70AE">
              <w:rPr>
                <w:rFonts w:asciiTheme="minorHAnsi" w:hAnsiTheme="minorHAnsi" w:cs="Arial"/>
                <w:sz w:val="18"/>
                <w:szCs w:val="18"/>
              </w:rPr>
              <w:t>Tauranga City</w:t>
            </w: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1F23F2">
            <w:pPr>
              <w:pStyle w:val="Header"/>
              <w:numPr>
                <w:ilvl w:val="0"/>
                <w:numId w:val="22"/>
              </w:numP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nil"/>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r>
      <w:tr w:rsidR="009E0C89" w:rsidRPr="009E70AE" w:rsidTr="001B431E">
        <w:tc>
          <w:tcPr>
            <w:tcW w:w="3119" w:type="dxa"/>
            <w:tcBorders>
              <w:top w:val="single" w:sz="4" w:space="0" w:color="677719"/>
              <w:left w:val="nil"/>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r w:rsidRPr="009E70AE">
              <w:rPr>
                <w:rFonts w:asciiTheme="minorHAnsi" w:hAnsiTheme="minorHAnsi" w:cs="Arial"/>
                <w:sz w:val="18"/>
                <w:szCs w:val="18"/>
              </w:rPr>
              <w:t>Greater Wellington</w:t>
            </w: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1F23F2">
            <w:pPr>
              <w:pStyle w:val="Header"/>
              <w:numPr>
                <w:ilvl w:val="0"/>
                <w:numId w:val="22"/>
              </w:numP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nil"/>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r>
      <w:tr w:rsidR="009E0C89" w:rsidRPr="009E70AE" w:rsidTr="001B431E">
        <w:tc>
          <w:tcPr>
            <w:tcW w:w="3119" w:type="dxa"/>
            <w:tcBorders>
              <w:top w:val="single" w:sz="4" w:space="0" w:color="677719"/>
              <w:left w:val="nil"/>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r w:rsidRPr="009E70AE">
              <w:rPr>
                <w:rFonts w:asciiTheme="minorHAnsi" w:hAnsiTheme="minorHAnsi" w:cs="Arial"/>
                <w:sz w:val="18"/>
                <w:szCs w:val="18"/>
              </w:rPr>
              <w:t>Wellington City</w:t>
            </w: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1F23F2">
            <w:pPr>
              <w:pStyle w:val="Header"/>
              <w:numPr>
                <w:ilvl w:val="0"/>
                <w:numId w:val="22"/>
              </w:numP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nil"/>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r>
      <w:tr w:rsidR="009E0C89" w:rsidRPr="009E70AE" w:rsidTr="001B431E">
        <w:tc>
          <w:tcPr>
            <w:tcW w:w="3119" w:type="dxa"/>
            <w:tcBorders>
              <w:top w:val="single" w:sz="4" w:space="0" w:color="677719"/>
              <w:left w:val="nil"/>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r w:rsidRPr="009E70AE">
              <w:rPr>
                <w:rFonts w:asciiTheme="minorHAnsi" w:hAnsiTheme="minorHAnsi" w:cs="Arial"/>
                <w:sz w:val="18"/>
                <w:szCs w:val="18"/>
              </w:rPr>
              <w:t>Greater Christchurch</w:t>
            </w: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1F23F2">
            <w:pPr>
              <w:pStyle w:val="Header"/>
              <w:numPr>
                <w:ilvl w:val="0"/>
                <w:numId w:val="22"/>
              </w:numP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nil"/>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r>
      <w:tr w:rsidR="009E0C89" w:rsidRPr="009E70AE" w:rsidTr="001B431E">
        <w:tc>
          <w:tcPr>
            <w:tcW w:w="3119" w:type="dxa"/>
            <w:tcBorders>
              <w:top w:val="single" w:sz="4" w:space="0" w:color="677719"/>
              <w:left w:val="nil"/>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r w:rsidRPr="009E70AE">
              <w:rPr>
                <w:rFonts w:asciiTheme="minorHAnsi" w:hAnsiTheme="minorHAnsi" w:cs="Arial"/>
                <w:sz w:val="18"/>
                <w:szCs w:val="18"/>
              </w:rPr>
              <w:t>Christchurch City</w:t>
            </w: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1F23F2">
            <w:pPr>
              <w:pStyle w:val="Header"/>
              <w:numPr>
                <w:ilvl w:val="0"/>
                <w:numId w:val="22"/>
              </w:numP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nil"/>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r>
      <w:tr w:rsidR="009E0C89" w:rsidRPr="009E70AE" w:rsidTr="001B431E">
        <w:tc>
          <w:tcPr>
            <w:tcW w:w="3119" w:type="dxa"/>
            <w:tcBorders>
              <w:top w:val="single" w:sz="4" w:space="0" w:color="677719"/>
              <w:left w:val="nil"/>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r w:rsidRPr="009E70AE">
              <w:rPr>
                <w:rFonts w:asciiTheme="minorHAnsi" w:hAnsiTheme="minorHAnsi" w:cs="Arial"/>
                <w:sz w:val="18"/>
                <w:szCs w:val="18"/>
              </w:rPr>
              <w:t>Selwyn District</w:t>
            </w: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1F23F2">
            <w:pPr>
              <w:pStyle w:val="Header"/>
              <w:numPr>
                <w:ilvl w:val="0"/>
                <w:numId w:val="22"/>
              </w:numP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nil"/>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r>
      <w:tr w:rsidR="009E0C89" w:rsidRPr="009E70AE" w:rsidTr="001B431E">
        <w:tc>
          <w:tcPr>
            <w:tcW w:w="3119" w:type="dxa"/>
            <w:tcBorders>
              <w:top w:val="single" w:sz="4" w:space="0" w:color="677719"/>
              <w:left w:val="nil"/>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r w:rsidRPr="009E70AE">
              <w:rPr>
                <w:rFonts w:asciiTheme="minorHAnsi" w:hAnsiTheme="minorHAnsi" w:cs="Arial"/>
                <w:sz w:val="18"/>
                <w:szCs w:val="18"/>
              </w:rPr>
              <w:t>Queenstown-Lakes District</w:t>
            </w: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r w:rsidRPr="009E70AE">
              <w:rPr>
                <w:rFonts w:asciiTheme="minorHAnsi" w:eastAsiaTheme="minorHAnsi" w:hAnsiTheme="minorHAnsi" w:cs="Arial"/>
                <w:sz w:val="18"/>
                <w:szCs w:val="18"/>
                <w:lang w:eastAsia="en-US"/>
              </w:rPr>
              <w:t>N/A</w:t>
            </w: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2" w:type="dxa"/>
            <w:tcBorders>
              <w:top w:val="single" w:sz="4" w:space="0" w:color="677719"/>
              <w:left w:val="single" w:sz="4" w:space="0" w:color="677719"/>
              <w:bottom w:val="single" w:sz="4" w:space="0" w:color="677719"/>
              <w:right w:val="single" w:sz="4" w:space="0" w:color="677719"/>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c>
          <w:tcPr>
            <w:tcW w:w="1163" w:type="dxa"/>
            <w:tcBorders>
              <w:top w:val="single" w:sz="4" w:space="0" w:color="677719"/>
              <w:left w:val="single" w:sz="4" w:space="0" w:color="677719"/>
              <w:bottom w:val="single" w:sz="4" w:space="0" w:color="677719"/>
              <w:right w:val="nil"/>
            </w:tcBorders>
          </w:tcPr>
          <w:p w:rsidR="009E0C89" w:rsidRPr="009E70AE" w:rsidRDefault="009E0C89" w:rsidP="009E0C89">
            <w:pPr>
              <w:pStyle w:val="Header"/>
              <w:spacing w:before="60" w:after="60"/>
              <w:jc w:val="left"/>
              <w:rPr>
                <w:rFonts w:asciiTheme="minorHAnsi" w:eastAsiaTheme="minorHAnsi" w:hAnsiTheme="minorHAnsi" w:cs="Arial"/>
                <w:sz w:val="18"/>
                <w:szCs w:val="18"/>
                <w:lang w:eastAsia="en-US"/>
              </w:rPr>
            </w:pPr>
          </w:p>
        </w:tc>
      </w:tr>
    </w:tbl>
    <w:p w:rsidR="009E0C89" w:rsidRDefault="009E0C89" w:rsidP="00B21976">
      <w:pPr>
        <w:pStyle w:val="BodyText"/>
        <w:spacing w:before="240"/>
      </w:pPr>
      <w:r>
        <w:t xml:space="preserve">Auckland Council is a single unitary authority, and therefore its collaboration within Auckland is limited to council-controlled organisations (CCOs) that provide infrastructure (which has not been addressed in this report). Separate urban markets may also have an impact each other, which </w:t>
      </w:r>
      <w:proofErr w:type="gramStart"/>
      <w:r>
        <w:t>means</w:t>
      </w:r>
      <w:proofErr w:type="gramEnd"/>
      <w:r>
        <w:t xml:space="preserve"> there could be a case for councils to collaborate on a wider basis. For example, there is anecdotal evidence that the Auckland market is having a strong spill-over impact on upper North Island councils. </w:t>
      </w:r>
    </w:p>
    <w:p w:rsidR="009E0C89" w:rsidRDefault="009E0C89" w:rsidP="002A5D48">
      <w:pPr>
        <w:pStyle w:val="BodyText"/>
      </w:pPr>
      <w:r>
        <w:t xml:space="preserve">Collaboration between councils may not always be necessary or desirable. For example, </w:t>
      </w:r>
      <w:r w:rsidRPr="00BD1547">
        <w:t xml:space="preserve">Queenstown Lakes District </w:t>
      </w:r>
      <w:r>
        <w:t xml:space="preserve">Council (QLDC) is facing levels of growth and growth drivers that are unique within the Otago region. As the urban area of Queenstown is not contiguous with other urban areas, in this context there seems to be </w:t>
      </w:r>
      <w:r w:rsidRPr="00BD1547">
        <w:t>little benefit in collaboration</w:t>
      </w:r>
      <w:r>
        <w:t xml:space="preserve"> with </w:t>
      </w:r>
      <w:r w:rsidR="00C67494">
        <w:t>neighbouring</w:t>
      </w:r>
      <w:r>
        <w:t xml:space="preserve"> councils on growth management</w:t>
      </w:r>
      <w:r w:rsidRPr="00BD1547">
        <w:t>.</w:t>
      </w:r>
      <w:r>
        <w:t xml:space="preserve"> </w:t>
      </w:r>
    </w:p>
    <w:p w:rsidR="009E0C89" w:rsidRDefault="009E0C89" w:rsidP="002A5D48">
      <w:pPr>
        <w:pStyle w:val="BodyText"/>
      </w:pPr>
      <w:r w:rsidRPr="00C67907">
        <w:t xml:space="preserve">Most of the </w:t>
      </w:r>
      <w:r>
        <w:t>councils</w:t>
      </w:r>
      <w:r w:rsidRPr="00C67907">
        <w:t xml:space="preserve"> </w:t>
      </w:r>
      <w:r>
        <w:t>surveyed</w:t>
      </w:r>
      <w:r w:rsidRPr="00C67907">
        <w:t xml:space="preserve"> </w:t>
      </w:r>
      <w:r>
        <w:t>do undertake</w:t>
      </w:r>
      <w:r w:rsidRPr="00C67907">
        <w:t xml:space="preserve"> technical research with other </w:t>
      </w:r>
      <w:r>
        <w:t>councils to support joint strategic planning processes</w:t>
      </w:r>
      <w:r w:rsidRPr="00C67907">
        <w:t xml:space="preserve">. </w:t>
      </w:r>
      <w:r>
        <w:t>Some of this work looks across the region. F</w:t>
      </w:r>
      <w:r w:rsidRPr="00C67907">
        <w:t xml:space="preserve">or example, </w:t>
      </w:r>
      <w:r>
        <w:t>a large body of technical work has been generated to support</w:t>
      </w:r>
      <w:r w:rsidRPr="00C67907">
        <w:t xml:space="preserve"> the </w:t>
      </w:r>
      <w:r w:rsidRPr="00104AEF">
        <w:rPr>
          <w:i/>
        </w:rPr>
        <w:t>Waikato Spatial Plan</w:t>
      </w:r>
      <w:r w:rsidRPr="00A81E7B">
        <w:t>, which</w:t>
      </w:r>
      <w:r w:rsidRPr="00C67907">
        <w:t xml:space="preserve"> involves </w:t>
      </w:r>
      <w:r>
        <w:t>the regional council and 9 territorial authorities.</w:t>
      </w:r>
    </w:p>
    <w:p w:rsidR="009E0C89" w:rsidRPr="00C67907" w:rsidRDefault="009E0C89" w:rsidP="002A5D48">
      <w:pPr>
        <w:pStyle w:val="BodyText"/>
      </w:pPr>
      <w:r w:rsidRPr="00C67907">
        <w:t xml:space="preserve">Other </w:t>
      </w:r>
      <w:r>
        <w:t>processes focus</w:t>
      </w:r>
      <w:r w:rsidRPr="00C67907">
        <w:t xml:space="preserve"> on </w:t>
      </w:r>
      <w:r>
        <w:t xml:space="preserve">pan-regional or sub-regional </w:t>
      </w:r>
      <w:r w:rsidRPr="00C67907">
        <w:t xml:space="preserve">areas of </w:t>
      </w:r>
      <w:r>
        <w:t xml:space="preserve">high population </w:t>
      </w:r>
      <w:r w:rsidRPr="00C67907">
        <w:t>growth:</w:t>
      </w:r>
    </w:p>
    <w:p w:rsidR="009E0C89" w:rsidRPr="00C67907" w:rsidRDefault="009E0C89" w:rsidP="002A5D48">
      <w:pPr>
        <w:pStyle w:val="Bullet"/>
      </w:pPr>
      <w:r>
        <w:t xml:space="preserve">The </w:t>
      </w:r>
      <w:r w:rsidRPr="00C67907">
        <w:rPr>
          <w:i/>
        </w:rPr>
        <w:t>Upper North Island Strategic Alliance (UNISA)</w:t>
      </w:r>
      <w:r w:rsidRPr="00C67907">
        <w:t xml:space="preserve"> between the regional and city councils in Northland, Auckland, Waikato and Bay of Plenty</w:t>
      </w:r>
      <w:r>
        <w:t xml:space="preserve"> has undertaken work on freight, ports and industrial land. </w:t>
      </w:r>
    </w:p>
    <w:p w:rsidR="009E0C89" w:rsidRPr="00C67907" w:rsidRDefault="009E0C89" w:rsidP="002A5D48">
      <w:pPr>
        <w:pStyle w:val="Bullet"/>
      </w:pPr>
      <w:r w:rsidRPr="00C67907">
        <w:rPr>
          <w:i/>
        </w:rPr>
        <w:t>Future Proof</w:t>
      </w:r>
      <w:r>
        <w:t xml:space="preserve"> </w:t>
      </w:r>
      <w:r w:rsidRPr="00C67907">
        <w:t xml:space="preserve">is </w:t>
      </w:r>
      <w:r>
        <w:t>a growth strategy for</w:t>
      </w:r>
      <w:r w:rsidRPr="00C67907">
        <w:t xml:space="preserve"> Hamilton City, </w:t>
      </w:r>
      <w:proofErr w:type="spellStart"/>
      <w:r w:rsidRPr="00C67907">
        <w:t>Waipa</w:t>
      </w:r>
      <w:proofErr w:type="spellEnd"/>
      <w:r w:rsidRPr="00C67907">
        <w:t xml:space="preserve"> and Waikato Districts</w:t>
      </w:r>
      <w:r>
        <w:t xml:space="preserve"> underpinned by technical work on population growth, infrastructure, business land and developer perceptions</w:t>
      </w:r>
      <w:r w:rsidRPr="00C67907">
        <w:t>.</w:t>
      </w:r>
    </w:p>
    <w:p w:rsidR="009E0C89" w:rsidRPr="00C67907" w:rsidRDefault="009E0C89" w:rsidP="002A5D48">
      <w:pPr>
        <w:pStyle w:val="Bullet"/>
      </w:pPr>
      <w:proofErr w:type="spellStart"/>
      <w:r w:rsidRPr="00C67907">
        <w:rPr>
          <w:i/>
        </w:rPr>
        <w:t>SmartGrowth</w:t>
      </w:r>
      <w:proofErr w:type="spellEnd"/>
      <w:r>
        <w:rPr>
          <w:i/>
        </w:rPr>
        <w:t xml:space="preserve"> </w:t>
      </w:r>
      <w:r w:rsidRPr="00815C5D">
        <w:t xml:space="preserve">is a spatial </w:t>
      </w:r>
      <w:r>
        <w:t>growth management strategy prepared by a collaborative effort between</w:t>
      </w:r>
      <w:r w:rsidRPr="00815C5D">
        <w:t xml:space="preserve"> the</w:t>
      </w:r>
      <w:r>
        <w:t xml:space="preserve"> </w:t>
      </w:r>
      <w:r w:rsidRPr="00C67907">
        <w:t xml:space="preserve">Bay of Plenty Regional Council, Tauranga City, Western Bay of Plenty </w:t>
      </w:r>
      <w:r>
        <w:t xml:space="preserve">District </w:t>
      </w:r>
      <w:r w:rsidRPr="00C67907">
        <w:t xml:space="preserve">and </w:t>
      </w:r>
      <w:r>
        <w:t xml:space="preserve">the region’s </w:t>
      </w:r>
      <w:proofErr w:type="spellStart"/>
      <w:r>
        <w:t>t</w:t>
      </w:r>
      <w:r w:rsidR="00C67494">
        <w:t>ā</w:t>
      </w:r>
      <w:r w:rsidRPr="00C67907">
        <w:t>ngata</w:t>
      </w:r>
      <w:proofErr w:type="spellEnd"/>
      <w:r w:rsidRPr="00C67907">
        <w:t xml:space="preserve"> </w:t>
      </w:r>
      <w:r>
        <w:t>w</w:t>
      </w:r>
      <w:r w:rsidRPr="00C67907">
        <w:t>henua</w:t>
      </w:r>
      <w:r>
        <w:t>. It has produced a range of research on population ageing, housing affordability, intensification, business land, development viability and infrastructure.</w:t>
      </w:r>
    </w:p>
    <w:p w:rsidR="009E0C89" w:rsidRPr="0097199C" w:rsidRDefault="009E0C89" w:rsidP="002A5D48">
      <w:pPr>
        <w:pStyle w:val="Bullet"/>
      </w:pPr>
      <w:r w:rsidRPr="00E17C76">
        <w:t>The</w:t>
      </w:r>
      <w:r>
        <w:rPr>
          <w:i/>
        </w:rPr>
        <w:t xml:space="preserve"> </w:t>
      </w:r>
      <w:r w:rsidRPr="00C67907">
        <w:rPr>
          <w:i/>
        </w:rPr>
        <w:t>Greater Christchurch Urban Development Strategy</w:t>
      </w:r>
      <w:r>
        <w:t xml:space="preserve"> was produced by Environment Canterbury (ECAN), Christchurch City Council (CCC), </w:t>
      </w:r>
      <w:proofErr w:type="spellStart"/>
      <w:r>
        <w:t>Waimakariri</w:t>
      </w:r>
      <w:proofErr w:type="spellEnd"/>
      <w:r>
        <w:t xml:space="preserve"> District Council (WDC) and Selwyn District Council (SDC), the New Zealand Transport Agency (NZTA) and </w:t>
      </w:r>
      <w:proofErr w:type="spellStart"/>
      <w:r>
        <w:t>Te</w:t>
      </w:r>
      <w:proofErr w:type="spellEnd"/>
      <w:r>
        <w:t xml:space="preserve"> </w:t>
      </w:r>
      <w:proofErr w:type="spellStart"/>
      <w:r>
        <w:t>Runanga</w:t>
      </w:r>
      <w:proofErr w:type="spellEnd"/>
      <w:r>
        <w:t xml:space="preserve"> o Ngai </w:t>
      </w:r>
      <w:proofErr w:type="spellStart"/>
      <w:r>
        <w:t>Tahu</w:t>
      </w:r>
      <w:proofErr w:type="spellEnd"/>
      <w:r>
        <w:t xml:space="preserve"> before the Christchurch earthquakes. The partners have since produced a housing market assessment and</w:t>
      </w:r>
      <w:r w:rsidR="002D5691">
        <w:t xml:space="preserve"> </w:t>
      </w:r>
      <w:proofErr w:type="gramStart"/>
      <w:r w:rsidR="002D5691">
        <w:t>a freight study, advanced land-</w:t>
      </w:r>
      <w:r>
        <w:t>use matters through a range of recovery plans and programmes, and are</w:t>
      </w:r>
      <w:proofErr w:type="gramEnd"/>
      <w:r>
        <w:t xml:space="preserve"> now updating the strategy. </w:t>
      </w:r>
    </w:p>
    <w:p w:rsidR="009E0C89" w:rsidRPr="00F4050B" w:rsidRDefault="009E0C89" w:rsidP="002D5691">
      <w:pPr>
        <w:pStyle w:val="BodyText"/>
      </w:pPr>
      <w:r w:rsidRPr="00F4050B">
        <w:t xml:space="preserve">These joint strategic planning processes provide an agreed framework for growth management which </w:t>
      </w:r>
      <w:r>
        <w:t>influence</w:t>
      </w:r>
      <w:r w:rsidRPr="00F4050B">
        <w:t xml:space="preserve"> </w:t>
      </w:r>
      <w:r>
        <w:t xml:space="preserve">the transport </w:t>
      </w:r>
      <w:r w:rsidRPr="00F4050B">
        <w:t xml:space="preserve">and infrastructure </w:t>
      </w:r>
      <w:r>
        <w:t>decisions of</w:t>
      </w:r>
      <w:r w:rsidRPr="00F4050B">
        <w:t xml:space="preserve"> individual </w:t>
      </w:r>
      <w:r>
        <w:t>councils</w:t>
      </w:r>
      <w:r>
        <w:rPr>
          <w:rStyle w:val="FootnoteReference"/>
          <w:rFonts w:ascii="Arial" w:hAnsi="Arial" w:cs="Arial"/>
          <w:color w:val="000000" w:themeColor="text1"/>
        </w:rPr>
        <w:footnoteReference w:id="4"/>
      </w:r>
      <w:r>
        <w:t>.T</w:t>
      </w:r>
      <w:r w:rsidRPr="00F4050B">
        <w:t>he</w:t>
      </w:r>
      <w:r>
        <w:t xml:space="preserve"> processes</w:t>
      </w:r>
      <w:r w:rsidRPr="00F4050B">
        <w:t xml:space="preserve"> do not necessarily result in resource management decisions </w:t>
      </w:r>
      <w:r>
        <w:t>that are integrated across councils, however</w:t>
      </w:r>
      <w:r w:rsidRPr="00F4050B">
        <w:t xml:space="preserve">. </w:t>
      </w:r>
    </w:p>
    <w:p w:rsidR="009E0C89" w:rsidRPr="00BD1547" w:rsidRDefault="009E0C89" w:rsidP="002D5691">
      <w:pPr>
        <w:pStyle w:val="BodyText"/>
      </w:pPr>
      <w:r>
        <w:t>Councils involved in these processes tend to use the</w:t>
      </w:r>
      <w:r w:rsidRPr="00BD1547">
        <w:t xml:space="preserve"> same models </w:t>
      </w:r>
      <w:r>
        <w:t xml:space="preserve">for estimating </w:t>
      </w:r>
      <w:r w:rsidRPr="00BD1547">
        <w:t xml:space="preserve">demand, but </w:t>
      </w:r>
      <w:r>
        <w:t>retain their own unique</w:t>
      </w:r>
      <w:r w:rsidRPr="00BD1547">
        <w:t xml:space="preserve"> development capacity and monitoring processes</w:t>
      </w:r>
      <w:r>
        <w:t xml:space="preserve">, which vary in terms of </w:t>
      </w:r>
      <w:r w:rsidRPr="00BD1547">
        <w:t xml:space="preserve">frequency, type and </w:t>
      </w:r>
      <w:r>
        <w:t>method</w:t>
      </w:r>
      <w:r w:rsidRPr="00BD1547">
        <w:t>.</w:t>
      </w:r>
      <w:r>
        <w:t xml:space="preserve"> </w:t>
      </w:r>
    </w:p>
    <w:p w:rsidR="009E0C89" w:rsidRDefault="009E0C89" w:rsidP="002D5691">
      <w:pPr>
        <w:pStyle w:val="BodyText"/>
      </w:pPr>
      <w:r>
        <w:t>For example, the</w:t>
      </w:r>
      <w:r w:rsidRPr="00BD1547">
        <w:t xml:space="preserve"> </w:t>
      </w:r>
      <w:r>
        <w:t>councils</w:t>
      </w:r>
      <w:r w:rsidRPr="00BD1547">
        <w:t xml:space="preserve"> </w:t>
      </w:r>
      <w:r>
        <w:t xml:space="preserve">that are part of </w:t>
      </w:r>
      <w:proofErr w:type="spellStart"/>
      <w:r w:rsidRPr="003D7D2F">
        <w:rPr>
          <w:i/>
        </w:rPr>
        <w:t>SmartGrowth</w:t>
      </w:r>
      <w:proofErr w:type="spellEnd"/>
      <w:r>
        <w:t xml:space="preserve"> have agreed to use c</w:t>
      </w:r>
      <w:r w:rsidRPr="00BD1547">
        <w:t>ommon population, household and labour force projections</w:t>
      </w:r>
      <w:r>
        <w:t xml:space="preserve">, </w:t>
      </w:r>
      <w:r w:rsidRPr="00BD1547">
        <w:t>produced by the National Institute of Demographi</w:t>
      </w:r>
      <w:r>
        <w:t>c and Economic Analysis (NIDEA)</w:t>
      </w:r>
      <w:r w:rsidRPr="00BD1547">
        <w:t xml:space="preserve">. </w:t>
      </w:r>
      <w:r>
        <w:t xml:space="preserve">The </w:t>
      </w:r>
      <w:proofErr w:type="spellStart"/>
      <w:r w:rsidRPr="003D7D2F">
        <w:rPr>
          <w:i/>
        </w:rPr>
        <w:t>FutureProof</w:t>
      </w:r>
      <w:proofErr w:type="spellEnd"/>
      <w:r>
        <w:t xml:space="preserve"> councils undertake joint research, modelling and strategic planning, but decision-making and </w:t>
      </w:r>
      <w:r w:rsidRPr="00BD1547">
        <w:t xml:space="preserve">monitoring </w:t>
      </w:r>
      <w:r>
        <w:t>are</w:t>
      </w:r>
      <w:r w:rsidRPr="00BD1547">
        <w:t xml:space="preserve"> undertaken separately </w:t>
      </w:r>
      <w:r>
        <w:t xml:space="preserve">by the </w:t>
      </w:r>
      <w:r w:rsidRPr="00BD1547">
        <w:t>individual council</w:t>
      </w:r>
      <w:r>
        <w:t xml:space="preserve">s. </w:t>
      </w:r>
    </w:p>
    <w:p w:rsidR="009E0C89" w:rsidRPr="00BD1547" w:rsidRDefault="009E0C89" w:rsidP="002D5691">
      <w:pPr>
        <w:pStyle w:val="BodyText"/>
      </w:pPr>
      <w:r>
        <w:t xml:space="preserve">The degree of collaboration will necessarily be constrained by the resources (including staff time) that councils devote to it. It is possible that political incentives for councils to act independently also mean that joint work may not be prioritised. For example, despite the common issues facing councils in the </w:t>
      </w:r>
      <w:r w:rsidRPr="00BD1547">
        <w:t>Wellington Region</w:t>
      </w:r>
      <w:r>
        <w:t>, there is relatively infrequent interaction between them on demand and development capacity analysis</w:t>
      </w:r>
      <w:r w:rsidRPr="00BD1547">
        <w:t xml:space="preserve">. </w:t>
      </w:r>
    </w:p>
    <w:p w:rsidR="009E0C89" w:rsidRPr="004D417E" w:rsidRDefault="009E0C89" w:rsidP="001F23F2">
      <w:pPr>
        <w:pStyle w:val="Heading1"/>
        <w:numPr>
          <w:ilvl w:val="0"/>
          <w:numId w:val="29"/>
        </w:numPr>
      </w:pPr>
      <w:bookmarkStart w:id="24" w:name="_Toc455071980"/>
      <w:bookmarkStart w:id="25" w:name="_Toc455410515"/>
      <w:r w:rsidRPr="004D417E">
        <w:t>Residential demand forecasting</w:t>
      </w:r>
      <w:bookmarkEnd w:id="24"/>
      <w:bookmarkEnd w:id="25"/>
      <w:r w:rsidRPr="004D417E">
        <w:t xml:space="preserve"> </w:t>
      </w:r>
    </w:p>
    <w:p w:rsidR="009E0C89" w:rsidRPr="00476B33" w:rsidRDefault="002D5691" w:rsidP="003A4A32">
      <w:pPr>
        <w:pStyle w:val="Heading2"/>
        <w:spacing w:before="0"/>
      </w:pPr>
      <w:bookmarkStart w:id="26" w:name="_Toc455071981"/>
      <w:bookmarkStart w:id="27" w:name="_Toc455410516"/>
      <w:r>
        <w:t>5.1</w:t>
      </w:r>
      <w:r>
        <w:tab/>
      </w:r>
      <w:r w:rsidR="009E0C89" w:rsidRPr="00476B33">
        <w:t>Outputs</w:t>
      </w:r>
      <w:bookmarkEnd w:id="26"/>
      <w:bookmarkEnd w:id="27"/>
      <w:r w:rsidR="009E0C89" w:rsidRPr="00476B33">
        <w:t xml:space="preserve"> </w:t>
      </w:r>
    </w:p>
    <w:p w:rsidR="009E0C89" w:rsidRDefault="009E0C89" w:rsidP="002D5691">
      <w:pPr>
        <w:pStyle w:val="BodyText"/>
      </w:pPr>
      <w:r w:rsidRPr="00476B33">
        <w:t>All</w:t>
      </w:r>
      <w:r>
        <w:t xml:space="preserve"> of the</w:t>
      </w:r>
      <w:r w:rsidRPr="00476B33">
        <w:t xml:space="preserve"> </w:t>
      </w:r>
      <w:r>
        <w:t>councils</w:t>
      </w:r>
      <w:r w:rsidRPr="00476B33">
        <w:t xml:space="preserve"> </w:t>
      </w:r>
      <w:r>
        <w:t xml:space="preserve">surveyed </w:t>
      </w:r>
      <w:r w:rsidRPr="00476B33">
        <w:t xml:space="preserve">estimate </w:t>
      </w:r>
      <w:r>
        <w:t xml:space="preserve">new housing </w:t>
      </w:r>
      <w:r w:rsidRPr="00476B33">
        <w:t>demand</w:t>
      </w:r>
      <w:r>
        <w:t>, and h</w:t>
      </w:r>
      <w:r w:rsidRPr="00476B33">
        <w:t>alf use consultants to some degree to help</w:t>
      </w:r>
      <w:r>
        <w:t xml:space="preserve"> them with this work</w:t>
      </w:r>
      <w:r w:rsidRPr="00476B33">
        <w:t>.</w:t>
      </w:r>
      <w:r>
        <w:t xml:space="preserve"> </w:t>
      </w:r>
    </w:p>
    <w:p w:rsidR="009E0C89" w:rsidRPr="00476B33" w:rsidRDefault="009E0C89" w:rsidP="002D5691">
      <w:pPr>
        <w:pStyle w:val="BodyText"/>
      </w:pPr>
      <w:r w:rsidRPr="00476B33">
        <w:t>The</w:t>
      </w:r>
      <w:r>
        <w:t xml:space="preserve">se </w:t>
      </w:r>
      <w:r w:rsidRPr="00476B33">
        <w:t xml:space="preserve">are </w:t>
      </w:r>
      <w:r>
        <w:t xml:space="preserve">generally </w:t>
      </w:r>
      <w:r w:rsidRPr="00476B33">
        <w:t>presented in terms of the number of dwellings and hectares required over time</w:t>
      </w:r>
      <w:r>
        <w:t xml:space="preserve"> </w:t>
      </w:r>
      <w:r w:rsidRPr="00AF172E">
        <w:t>in different locations</w:t>
      </w:r>
      <w:r w:rsidRPr="00476B33">
        <w:t>. They typically use a horizon of between 20</w:t>
      </w:r>
      <w:r>
        <w:t xml:space="preserve"> and </w:t>
      </w:r>
      <w:r w:rsidRPr="00476B33">
        <w:t>30 years (to meet requirements for the estimates to inform long term strategic and infrastructure planning</w:t>
      </w:r>
      <w:r>
        <w:t>, and because Statistics New Zealand population projections are projected 25 years into the future</w:t>
      </w:r>
      <w:r w:rsidRPr="00476B33">
        <w:t xml:space="preserve">). Some </w:t>
      </w:r>
      <w:proofErr w:type="gramStart"/>
      <w:r>
        <w:t>councils</w:t>
      </w:r>
      <w:proofErr w:type="gramEnd"/>
      <w:r w:rsidRPr="00476B33">
        <w:t xml:space="preserve"> also estimate </w:t>
      </w:r>
      <w:r>
        <w:t xml:space="preserve">demand for </w:t>
      </w:r>
      <w:r w:rsidRPr="00476B33">
        <w:t xml:space="preserve">different types of dwellings, including demand for </w:t>
      </w:r>
      <w:r>
        <w:t>more redevelopment</w:t>
      </w:r>
      <w:r w:rsidRPr="00476B33">
        <w:t xml:space="preserve"> </w:t>
      </w:r>
      <w:r>
        <w:t xml:space="preserve">or infill development </w:t>
      </w:r>
      <w:r w:rsidRPr="00476B33">
        <w:t xml:space="preserve">in </w:t>
      </w:r>
      <w:r>
        <w:t xml:space="preserve">existing urban </w:t>
      </w:r>
      <w:r w:rsidRPr="00476B33">
        <w:t>areas.</w:t>
      </w:r>
      <w:r>
        <w:t xml:space="preserve"> Auckland and Tauranga City also estimate market demand for different price brackets of residential development to varying degrees, while Queenstown-Lakes District has done work on this in the past.</w:t>
      </w:r>
    </w:p>
    <w:p w:rsidR="009E0C89" w:rsidRPr="00476B33" w:rsidRDefault="009E0C89" w:rsidP="002D5691">
      <w:pPr>
        <w:pStyle w:val="BodyText"/>
      </w:pPr>
      <w:r w:rsidRPr="00476B33">
        <w:t xml:space="preserve">The information outputs (and the data inputs and methods used to </w:t>
      </w:r>
      <w:r>
        <w:t>derive these outputs</w:t>
      </w:r>
      <w:r w:rsidRPr="00476B33">
        <w:t xml:space="preserve">) </w:t>
      </w:r>
      <w:r>
        <w:t xml:space="preserve">appear to </w:t>
      </w:r>
      <w:r w:rsidRPr="00476B33">
        <w:t xml:space="preserve">vary by </w:t>
      </w:r>
      <w:r>
        <w:t>council</w:t>
      </w:r>
      <w:r w:rsidRPr="00476B33">
        <w:t xml:space="preserve"> depending on:</w:t>
      </w:r>
    </w:p>
    <w:p w:rsidR="009E0C89" w:rsidRPr="00476B33" w:rsidRDefault="009E0C89" w:rsidP="002D5691">
      <w:pPr>
        <w:pStyle w:val="Bullet"/>
      </w:pPr>
      <w:r>
        <w:t>t</w:t>
      </w:r>
      <w:r w:rsidRPr="00476B33">
        <w:t xml:space="preserve">he </w:t>
      </w:r>
      <w:r>
        <w:t xml:space="preserve">level of </w:t>
      </w:r>
      <w:r w:rsidRPr="00476B33">
        <w:t xml:space="preserve">growth the individual council </w:t>
      </w:r>
      <w:r>
        <w:t xml:space="preserve">is facing </w:t>
      </w:r>
    </w:p>
    <w:p w:rsidR="009E0C89" w:rsidRPr="00476B33" w:rsidRDefault="009E0C89" w:rsidP="002D5691">
      <w:pPr>
        <w:pStyle w:val="Bullet"/>
      </w:pPr>
      <w:r>
        <w:t>t</w:t>
      </w:r>
      <w:r w:rsidRPr="00476B33">
        <w:t xml:space="preserve">he scale and scope of submissions in statutory processes </w:t>
      </w:r>
    </w:p>
    <w:p w:rsidR="009E0C89" w:rsidRPr="00476B33" w:rsidRDefault="009E0C89" w:rsidP="002D5691">
      <w:pPr>
        <w:pStyle w:val="Bullet"/>
      </w:pPr>
      <w:proofErr w:type="gramStart"/>
      <w:r>
        <w:t>s</w:t>
      </w:r>
      <w:r w:rsidRPr="00476B33">
        <w:t>ize</w:t>
      </w:r>
      <w:proofErr w:type="gramEnd"/>
      <w:r>
        <w:t>:</w:t>
      </w:r>
      <w:r w:rsidRPr="00476B33">
        <w:t xml:space="preserve"> larger </w:t>
      </w:r>
      <w:r>
        <w:t>councils</w:t>
      </w:r>
      <w:r w:rsidRPr="00476B33">
        <w:t xml:space="preserve"> </w:t>
      </w:r>
      <w:r>
        <w:t xml:space="preserve">have </w:t>
      </w:r>
      <w:r w:rsidRPr="00476B33">
        <w:t>more extensive datasets from which to draw information</w:t>
      </w:r>
      <w:r>
        <w:t>, as well as</w:t>
      </w:r>
      <w:r w:rsidRPr="00476B33">
        <w:t xml:space="preserve"> more complex models.</w:t>
      </w:r>
    </w:p>
    <w:p w:rsidR="009E0C89" w:rsidRPr="00476B33" w:rsidRDefault="009E0C89" w:rsidP="002D5691">
      <w:pPr>
        <w:pStyle w:val="Tableheading"/>
      </w:pPr>
      <w:r w:rsidRPr="007A2E1D">
        <w:t xml:space="preserve">Table 2: </w:t>
      </w:r>
      <w:r w:rsidR="007A2E1D" w:rsidRPr="007A2E1D">
        <w:t xml:space="preserve">Outputs of </w:t>
      </w:r>
      <w:r w:rsidRPr="007A2E1D">
        <w:t xml:space="preserve">residential demand </w:t>
      </w:r>
      <w:r w:rsidR="007A2E1D" w:rsidRPr="007A2E1D">
        <w:t>forecasting</w:t>
      </w:r>
      <w:r w:rsidR="007A2E1D">
        <w:t xml:space="preserve"> </w:t>
      </w:r>
    </w:p>
    <w:tbl>
      <w:tblPr>
        <w:tblStyle w:val="TableGrid"/>
        <w:tblW w:w="0" w:type="auto"/>
        <w:tblBorders>
          <w:top w:val="single" w:sz="4" w:space="0" w:color="677719"/>
          <w:left w:val="single" w:sz="4" w:space="0" w:color="677719"/>
          <w:bottom w:val="single" w:sz="4" w:space="0" w:color="677719"/>
          <w:right w:val="single" w:sz="4" w:space="0" w:color="677719"/>
          <w:insideH w:val="single" w:sz="4" w:space="0" w:color="677719"/>
          <w:insideV w:val="single" w:sz="4" w:space="0" w:color="677719"/>
        </w:tblBorders>
        <w:tblLayout w:type="fixed"/>
        <w:tblLook w:val="04A0" w:firstRow="1" w:lastRow="0" w:firstColumn="1" w:lastColumn="0" w:noHBand="0" w:noVBand="1"/>
      </w:tblPr>
      <w:tblGrid>
        <w:gridCol w:w="1772"/>
        <w:gridCol w:w="1471"/>
        <w:gridCol w:w="1319"/>
        <w:gridCol w:w="1783"/>
        <w:gridCol w:w="1156"/>
        <w:gridCol w:w="1315"/>
      </w:tblGrid>
      <w:tr w:rsidR="009E0C89" w:rsidRPr="002D5691" w:rsidTr="001B431E">
        <w:tc>
          <w:tcPr>
            <w:tcW w:w="1772" w:type="dxa"/>
            <w:vMerge w:val="restart"/>
            <w:tcBorders>
              <w:left w:val="nil"/>
            </w:tcBorders>
          </w:tcPr>
          <w:p w:rsidR="009E0C89" w:rsidRPr="002D5691" w:rsidRDefault="009E0C89" w:rsidP="009E0C89">
            <w:pPr>
              <w:spacing w:before="60" w:after="60"/>
              <w:jc w:val="left"/>
              <w:rPr>
                <w:rFonts w:asciiTheme="minorHAnsi" w:hAnsiTheme="minorHAnsi" w:cs="Arial"/>
                <w:color w:val="000000" w:themeColor="text1"/>
                <w:sz w:val="18"/>
                <w:szCs w:val="18"/>
              </w:rPr>
            </w:pPr>
            <w:r w:rsidRPr="002D5691">
              <w:rPr>
                <w:rFonts w:asciiTheme="minorHAnsi" w:hAnsiTheme="minorHAnsi" w:cs="Arial"/>
                <w:b/>
                <w:sz w:val="18"/>
                <w:szCs w:val="18"/>
              </w:rPr>
              <w:t>Council</w:t>
            </w:r>
          </w:p>
        </w:tc>
        <w:tc>
          <w:tcPr>
            <w:tcW w:w="7044" w:type="dxa"/>
            <w:gridSpan w:val="5"/>
            <w:tcBorders>
              <w:right w:val="nil"/>
            </w:tcBorders>
          </w:tcPr>
          <w:p w:rsidR="009E0C89" w:rsidRPr="002D5691" w:rsidRDefault="009E0C89" w:rsidP="009E0C89">
            <w:pPr>
              <w:spacing w:before="60" w:after="60"/>
              <w:jc w:val="left"/>
              <w:rPr>
                <w:rFonts w:asciiTheme="minorHAnsi" w:hAnsiTheme="minorHAnsi" w:cs="Arial"/>
                <w:b/>
                <w:color w:val="000000" w:themeColor="text1"/>
                <w:sz w:val="18"/>
                <w:szCs w:val="18"/>
              </w:rPr>
            </w:pPr>
            <w:r w:rsidRPr="002D5691">
              <w:rPr>
                <w:rFonts w:asciiTheme="minorHAnsi" w:hAnsiTheme="minorHAnsi" w:cs="Arial"/>
                <w:b/>
                <w:color w:val="000000" w:themeColor="text1"/>
                <w:sz w:val="18"/>
                <w:szCs w:val="18"/>
              </w:rPr>
              <w:t>Residential demand estimates</w:t>
            </w:r>
          </w:p>
        </w:tc>
      </w:tr>
      <w:tr w:rsidR="009E0C89" w:rsidRPr="002D5691" w:rsidTr="001B431E">
        <w:tc>
          <w:tcPr>
            <w:tcW w:w="1772" w:type="dxa"/>
            <w:vMerge/>
            <w:tcBorders>
              <w:left w:val="nil"/>
            </w:tcBorders>
          </w:tcPr>
          <w:p w:rsidR="009E0C89" w:rsidRPr="002D5691" w:rsidRDefault="009E0C89" w:rsidP="009E0C89">
            <w:pPr>
              <w:spacing w:before="60" w:after="60"/>
              <w:jc w:val="left"/>
              <w:rPr>
                <w:rFonts w:asciiTheme="minorHAnsi" w:hAnsiTheme="minorHAnsi" w:cs="Arial"/>
                <w:color w:val="000000" w:themeColor="text1"/>
                <w:sz w:val="18"/>
                <w:szCs w:val="18"/>
              </w:rPr>
            </w:pPr>
          </w:p>
        </w:tc>
        <w:tc>
          <w:tcPr>
            <w:tcW w:w="1471" w:type="dxa"/>
          </w:tcPr>
          <w:p w:rsidR="009E0C89" w:rsidRPr="002D5691" w:rsidRDefault="009E0C89" w:rsidP="009E0C89">
            <w:pPr>
              <w:spacing w:before="60" w:after="60"/>
              <w:jc w:val="left"/>
              <w:rPr>
                <w:rFonts w:asciiTheme="minorHAnsi" w:hAnsiTheme="minorHAnsi" w:cs="Arial"/>
                <w:b/>
                <w:color w:val="000000" w:themeColor="text1"/>
                <w:sz w:val="18"/>
                <w:szCs w:val="18"/>
              </w:rPr>
            </w:pPr>
            <w:r w:rsidRPr="002D5691">
              <w:rPr>
                <w:rFonts w:asciiTheme="minorHAnsi" w:hAnsiTheme="minorHAnsi" w:cs="Arial"/>
                <w:b/>
                <w:color w:val="000000" w:themeColor="text1"/>
                <w:sz w:val="18"/>
                <w:szCs w:val="18"/>
              </w:rPr>
              <w:t>Geospatial distribution</w:t>
            </w:r>
          </w:p>
        </w:tc>
        <w:tc>
          <w:tcPr>
            <w:tcW w:w="1319" w:type="dxa"/>
          </w:tcPr>
          <w:p w:rsidR="009E0C89" w:rsidRPr="002D5691" w:rsidRDefault="009E0C89" w:rsidP="009E0C89">
            <w:pPr>
              <w:spacing w:before="60" w:after="60"/>
              <w:jc w:val="left"/>
              <w:rPr>
                <w:rFonts w:asciiTheme="minorHAnsi" w:hAnsiTheme="minorHAnsi" w:cs="Arial"/>
                <w:b/>
                <w:color w:val="000000" w:themeColor="text1"/>
                <w:sz w:val="18"/>
                <w:szCs w:val="18"/>
              </w:rPr>
            </w:pPr>
            <w:r w:rsidRPr="002D5691">
              <w:rPr>
                <w:rFonts w:asciiTheme="minorHAnsi" w:hAnsiTheme="minorHAnsi" w:cs="Arial"/>
                <w:b/>
                <w:color w:val="000000" w:themeColor="text1"/>
                <w:sz w:val="18"/>
                <w:szCs w:val="18"/>
              </w:rPr>
              <w:t>Greenfield</w:t>
            </w:r>
          </w:p>
        </w:tc>
        <w:tc>
          <w:tcPr>
            <w:tcW w:w="1783" w:type="dxa"/>
          </w:tcPr>
          <w:p w:rsidR="009E0C89" w:rsidRPr="002D5691" w:rsidRDefault="009E0C89" w:rsidP="009E0C89">
            <w:pPr>
              <w:spacing w:before="60" w:after="60"/>
              <w:jc w:val="left"/>
              <w:rPr>
                <w:rFonts w:asciiTheme="minorHAnsi" w:hAnsiTheme="minorHAnsi" w:cs="Arial"/>
                <w:b/>
                <w:color w:val="000000" w:themeColor="text1"/>
                <w:sz w:val="18"/>
                <w:szCs w:val="18"/>
              </w:rPr>
            </w:pPr>
            <w:r w:rsidRPr="002D5691">
              <w:rPr>
                <w:rFonts w:asciiTheme="minorHAnsi" w:hAnsiTheme="minorHAnsi" w:cs="Arial"/>
                <w:b/>
                <w:color w:val="000000" w:themeColor="text1"/>
                <w:sz w:val="18"/>
                <w:szCs w:val="18"/>
              </w:rPr>
              <w:t>Existing urban areas</w:t>
            </w:r>
          </w:p>
        </w:tc>
        <w:tc>
          <w:tcPr>
            <w:tcW w:w="1156" w:type="dxa"/>
          </w:tcPr>
          <w:p w:rsidR="009E0C89" w:rsidRPr="002D5691" w:rsidRDefault="009E0C89" w:rsidP="009E0C89">
            <w:pPr>
              <w:spacing w:before="60" w:after="60"/>
              <w:jc w:val="left"/>
              <w:rPr>
                <w:rFonts w:asciiTheme="minorHAnsi" w:hAnsiTheme="minorHAnsi" w:cs="Arial"/>
                <w:b/>
                <w:color w:val="000000" w:themeColor="text1"/>
                <w:sz w:val="18"/>
                <w:szCs w:val="18"/>
              </w:rPr>
            </w:pPr>
            <w:r w:rsidRPr="002D5691">
              <w:rPr>
                <w:rFonts w:asciiTheme="minorHAnsi" w:hAnsiTheme="minorHAnsi" w:cs="Arial"/>
                <w:b/>
                <w:color w:val="000000" w:themeColor="text1"/>
                <w:sz w:val="18"/>
                <w:szCs w:val="18"/>
              </w:rPr>
              <w:t>Dwelling type</w:t>
            </w:r>
          </w:p>
        </w:tc>
        <w:tc>
          <w:tcPr>
            <w:tcW w:w="1315" w:type="dxa"/>
            <w:tcBorders>
              <w:right w:val="nil"/>
            </w:tcBorders>
          </w:tcPr>
          <w:p w:rsidR="009E0C89" w:rsidRPr="002D5691" w:rsidRDefault="009E0C89" w:rsidP="009E0C89">
            <w:pPr>
              <w:spacing w:before="60" w:after="60"/>
              <w:jc w:val="left"/>
              <w:rPr>
                <w:rFonts w:asciiTheme="minorHAnsi" w:hAnsiTheme="minorHAnsi" w:cs="Arial"/>
                <w:b/>
                <w:color w:val="000000" w:themeColor="text1"/>
                <w:sz w:val="18"/>
                <w:szCs w:val="18"/>
              </w:rPr>
            </w:pPr>
            <w:r w:rsidRPr="002D5691">
              <w:rPr>
                <w:rFonts w:asciiTheme="minorHAnsi" w:hAnsiTheme="minorHAnsi" w:cs="Arial"/>
                <w:b/>
                <w:color w:val="000000" w:themeColor="text1"/>
                <w:sz w:val="18"/>
                <w:szCs w:val="18"/>
              </w:rPr>
              <w:t>Market demand by price</w:t>
            </w:r>
          </w:p>
        </w:tc>
      </w:tr>
      <w:tr w:rsidR="009E0C89" w:rsidRPr="002D5691" w:rsidTr="001B431E">
        <w:tc>
          <w:tcPr>
            <w:tcW w:w="1772" w:type="dxa"/>
            <w:tcBorders>
              <w:left w:val="nil"/>
            </w:tcBorders>
          </w:tcPr>
          <w:p w:rsidR="009E0C89" w:rsidRPr="002D5691" w:rsidRDefault="009E0C89" w:rsidP="009E0C89">
            <w:pPr>
              <w:spacing w:before="60" w:after="60"/>
              <w:jc w:val="left"/>
              <w:rPr>
                <w:rFonts w:asciiTheme="minorHAnsi" w:hAnsiTheme="minorHAnsi" w:cs="Arial"/>
                <w:color w:val="000000" w:themeColor="text1"/>
                <w:sz w:val="18"/>
                <w:szCs w:val="18"/>
              </w:rPr>
            </w:pPr>
            <w:r w:rsidRPr="002D5691">
              <w:rPr>
                <w:rFonts w:asciiTheme="minorHAnsi" w:hAnsiTheme="minorHAnsi" w:cs="Arial"/>
                <w:sz w:val="18"/>
                <w:szCs w:val="18"/>
              </w:rPr>
              <w:t>Auckland</w:t>
            </w:r>
          </w:p>
        </w:tc>
        <w:tc>
          <w:tcPr>
            <w:tcW w:w="1471" w:type="dxa"/>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319" w:type="dxa"/>
            <w:vAlign w:val="center"/>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783" w:type="dxa"/>
            <w:vAlign w:val="center"/>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156" w:type="dxa"/>
            <w:vAlign w:val="center"/>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315" w:type="dxa"/>
            <w:tcBorders>
              <w:right w:val="nil"/>
            </w:tcBorders>
            <w:vAlign w:val="center"/>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r>
      <w:tr w:rsidR="009E0C89" w:rsidRPr="002D5691" w:rsidTr="001B431E">
        <w:tc>
          <w:tcPr>
            <w:tcW w:w="1772" w:type="dxa"/>
            <w:tcBorders>
              <w:left w:val="nil"/>
            </w:tcBorders>
          </w:tcPr>
          <w:p w:rsidR="009E0C89" w:rsidRPr="002D5691" w:rsidRDefault="009E0C89" w:rsidP="009E0C89">
            <w:pPr>
              <w:spacing w:before="60" w:after="60"/>
              <w:jc w:val="left"/>
              <w:rPr>
                <w:rFonts w:asciiTheme="minorHAnsi" w:hAnsiTheme="minorHAnsi" w:cs="Arial"/>
                <w:color w:val="000000" w:themeColor="text1"/>
                <w:sz w:val="18"/>
                <w:szCs w:val="18"/>
              </w:rPr>
            </w:pPr>
            <w:r w:rsidRPr="002D5691">
              <w:rPr>
                <w:rFonts w:asciiTheme="minorHAnsi" w:hAnsiTheme="minorHAnsi" w:cs="Arial"/>
                <w:sz w:val="18"/>
                <w:szCs w:val="18"/>
              </w:rPr>
              <w:t>Hamilton City</w:t>
            </w:r>
          </w:p>
        </w:tc>
        <w:tc>
          <w:tcPr>
            <w:tcW w:w="1471" w:type="dxa"/>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319" w:type="dxa"/>
            <w:vAlign w:val="center"/>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783" w:type="dxa"/>
            <w:vAlign w:val="center"/>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156" w:type="dxa"/>
            <w:vAlign w:val="center"/>
          </w:tcPr>
          <w:p w:rsidR="009E0C89" w:rsidRPr="002D5691" w:rsidRDefault="009E0C89" w:rsidP="009E0C89">
            <w:pPr>
              <w:pStyle w:val="ListParagraph"/>
              <w:spacing w:before="60" w:after="60"/>
              <w:ind w:firstLine="0"/>
              <w:rPr>
                <w:rFonts w:asciiTheme="minorHAnsi" w:hAnsiTheme="minorHAnsi" w:cs="Arial"/>
                <w:b/>
                <w:color w:val="000000" w:themeColor="text1"/>
                <w:sz w:val="18"/>
                <w:szCs w:val="18"/>
              </w:rPr>
            </w:pPr>
          </w:p>
        </w:tc>
        <w:tc>
          <w:tcPr>
            <w:tcW w:w="1315" w:type="dxa"/>
            <w:tcBorders>
              <w:right w:val="nil"/>
            </w:tcBorders>
            <w:vAlign w:val="center"/>
          </w:tcPr>
          <w:p w:rsidR="009E0C89" w:rsidRPr="002D5691" w:rsidRDefault="009E0C89" w:rsidP="009E0C89">
            <w:pPr>
              <w:pStyle w:val="ListParagraph"/>
              <w:spacing w:before="60" w:after="60"/>
              <w:ind w:firstLine="0"/>
              <w:rPr>
                <w:rFonts w:asciiTheme="minorHAnsi" w:hAnsiTheme="minorHAnsi" w:cs="Arial"/>
                <w:b/>
                <w:color w:val="000000" w:themeColor="text1"/>
                <w:sz w:val="18"/>
                <w:szCs w:val="18"/>
              </w:rPr>
            </w:pPr>
          </w:p>
        </w:tc>
      </w:tr>
      <w:tr w:rsidR="009E0C89" w:rsidRPr="002D5691" w:rsidTr="001B431E">
        <w:tc>
          <w:tcPr>
            <w:tcW w:w="1772" w:type="dxa"/>
            <w:tcBorders>
              <w:left w:val="nil"/>
            </w:tcBorders>
          </w:tcPr>
          <w:p w:rsidR="009E0C89" w:rsidRPr="002D5691" w:rsidRDefault="009E0C89" w:rsidP="009E0C89">
            <w:pPr>
              <w:spacing w:before="60" w:after="60"/>
              <w:jc w:val="left"/>
              <w:rPr>
                <w:rFonts w:asciiTheme="minorHAnsi" w:hAnsiTheme="minorHAnsi" w:cs="Arial"/>
                <w:color w:val="000000" w:themeColor="text1"/>
                <w:sz w:val="18"/>
                <w:szCs w:val="18"/>
              </w:rPr>
            </w:pPr>
            <w:r w:rsidRPr="002D5691">
              <w:rPr>
                <w:rFonts w:asciiTheme="minorHAnsi" w:hAnsiTheme="minorHAnsi" w:cs="Arial"/>
                <w:sz w:val="18"/>
                <w:szCs w:val="18"/>
              </w:rPr>
              <w:t>Tauranga City</w:t>
            </w:r>
          </w:p>
        </w:tc>
        <w:tc>
          <w:tcPr>
            <w:tcW w:w="1471" w:type="dxa"/>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319" w:type="dxa"/>
            <w:vAlign w:val="center"/>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783" w:type="dxa"/>
            <w:vAlign w:val="center"/>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156" w:type="dxa"/>
            <w:vAlign w:val="center"/>
          </w:tcPr>
          <w:p w:rsidR="009E0C89" w:rsidRPr="002D5691" w:rsidRDefault="009E0C89" w:rsidP="001F23F2">
            <w:pPr>
              <w:pStyle w:val="ListParagraph"/>
              <w:numPr>
                <w:ilvl w:val="0"/>
                <w:numId w:val="23"/>
              </w:numPr>
              <w:spacing w:before="60" w:after="60" w:line="240" w:lineRule="auto"/>
              <w:contextualSpacing/>
              <w:rPr>
                <w:rFonts w:asciiTheme="minorHAnsi" w:hAnsiTheme="minorHAnsi" w:cs="Arial"/>
                <w:b/>
                <w:color w:val="000000" w:themeColor="text1"/>
                <w:sz w:val="18"/>
                <w:szCs w:val="18"/>
              </w:rPr>
            </w:pPr>
          </w:p>
        </w:tc>
        <w:tc>
          <w:tcPr>
            <w:tcW w:w="1315" w:type="dxa"/>
            <w:tcBorders>
              <w:right w:val="nil"/>
            </w:tcBorders>
            <w:vAlign w:val="center"/>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r>
      <w:tr w:rsidR="009E0C89" w:rsidRPr="002D5691" w:rsidTr="001B431E">
        <w:tc>
          <w:tcPr>
            <w:tcW w:w="1772" w:type="dxa"/>
            <w:tcBorders>
              <w:left w:val="nil"/>
            </w:tcBorders>
          </w:tcPr>
          <w:p w:rsidR="009E0C89" w:rsidRPr="002D5691" w:rsidRDefault="009E0C89" w:rsidP="009E0C89">
            <w:pPr>
              <w:spacing w:before="60" w:after="60"/>
              <w:jc w:val="left"/>
              <w:rPr>
                <w:rFonts w:asciiTheme="minorHAnsi" w:hAnsiTheme="minorHAnsi" w:cs="Arial"/>
                <w:color w:val="000000" w:themeColor="text1"/>
                <w:sz w:val="18"/>
                <w:szCs w:val="18"/>
              </w:rPr>
            </w:pPr>
            <w:r w:rsidRPr="002D5691">
              <w:rPr>
                <w:rFonts w:asciiTheme="minorHAnsi" w:hAnsiTheme="minorHAnsi" w:cs="Arial"/>
                <w:sz w:val="18"/>
                <w:szCs w:val="18"/>
              </w:rPr>
              <w:t>Greater Wellington</w:t>
            </w:r>
          </w:p>
        </w:tc>
        <w:tc>
          <w:tcPr>
            <w:tcW w:w="1471" w:type="dxa"/>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319" w:type="dxa"/>
            <w:vAlign w:val="center"/>
          </w:tcPr>
          <w:p w:rsidR="009E0C89" w:rsidRPr="002D5691" w:rsidRDefault="009E0C89" w:rsidP="009E0C89">
            <w:pPr>
              <w:pStyle w:val="ListParagraph"/>
              <w:spacing w:before="60" w:after="60"/>
              <w:ind w:firstLine="0"/>
              <w:rPr>
                <w:rFonts w:asciiTheme="minorHAnsi" w:hAnsiTheme="minorHAnsi" w:cs="Arial"/>
                <w:b/>
                <w:color w:val="000000" w:themeColor="text1"/>
                <w:sz w:val="18"/>
                <w:szCs w:val="18"/>
              </w:rPr>
            </w:pPr>
          </w:p>
        </w:tc>
        <w:tc>
          <w:tcPr>
            <w:tcW w:w="1783" w:type="dxa"/>
            <w:vAlign w:val="center"/>
          </w:tcPr>
          <w:p w:rsidR="009E0C89" w:rsidRPr="002D5691" w:rsidRDefault="009E0C89" w:rsidP="009E0C89">
            <w:pPr>
              <w:pStyle w:val="ListParagraph"/>
              <w:spacing w:before="60" w:after="60"/>
              <w:ind w:firstLine="0"/>
              <w:rPr>
                <w:rFonts w:asciiTheme="minorHAnsi" w:hAnsiTheme="minorHAnsi" w:cs="Arial"/>
                <w:b/>
                <w:color w:val="000000" w:themeColor="text1"/>
                <w:sz w:val="18"/>
                <w:szCs w:val="18"/>
              </w:rPr>
            </w:pPr>
          </w:p>
        </w:tc>
        <w:tc>
          <w:tcPr>
            <w:tcW w:w="1156" w:type="dxa"/>
            <w:vAlign w:val="center"/>
          </w:tcPr>
          <w:p w:rsidR="009E0C89" w:rsidRPr="002D5691" w:rsidRDefault="009E0C89" w:rsidP="009E0C89">
            <w:pPr>
              <w:pStyle w:val="ListParagraph"/>
              <w:spacing w:before="60" w:after="60"/>
              <w:ind w:firstLine="0"/>
              <w:rPr>
                <w:rFonts w:asciiTheme="minorHAnsi" w:hAnsiTheme="minorHAnsi" w:cs="Arial"/>
                <w:b/>
                <w:color w:val="000000" w:themeColor="text1"/>
                <w:sz w:val="18"/>
                <w:szCs w:val="18"/>
              </w:rPr>
            </w:pPr>
          </w:p>
        </w:tc>
        <w:tc>
          <w:tcPr>
            <w:tcW w:w="1315" w:type="dxa"/>
            <w:tcBorders>
              <w:right w:val="nil"/>
            </w:tcBorders>
            <w:vAlign w:val="center"/>
          </w:tcPr>
          <w:p w:rsidR="009E0C89" w:rsidRPr="002D5691" w:rsidRDefault="009E0C89" w:rsidP="009E0C89">
            <w:pPr>
              <w:spacing w:before="60" w:after="60"/>
              <w:jc w:val="left"/>
              <w:rPr>
                <w:rFonts w:asciiTheme="minorHAnsi" w:hAnsiTheme="minorHAnsi" w:cs="Arial"/>
                <w:b/>
                <w:color w:val="000000" w:themeColor="text1"/>
                <w:sz w:val="18"/>
                <w:szCs w:val="18"/>
              </w:rPr>
            </w:pPr>
          </w:p>
        </w:tc>
      </w:tr>
      <w:tr w:rsidR="009E0C89" w:rsidRPr="002D5691" w:rsidTr="001B431E">
        <w:tc>
          <w:tcPr>
            <w:tcW w:w="1772" w:type="dxa"/>
            <w:tcBorders>
              <w:left w:val="nil"/>
            </w:tcBorders>
          </w:tcPr>
          <w:p w:rsidR="009E0C89" w:rsidRPr="002D5691" w:rsidRDefault="009E0C89" w:rsidP="009E0C89">
            <w:pPr>
              <w:spacing w:before="60" w:after="60"/>
              <w:jc w:val="left"/>
              <w:rPr>
                <w:rFonts w:asciiTheme="minorHAnsi" w:hAnsiTheme="minorHAnsi" w:cs="Arial"/>
                <w:color w:val="000000" w:themeColor="text1"/>
                <w:sz w:val="18"/>
                <w:szCs w:val="18"/>
              </w:rPr>
            </w:pPr>
            <w:r w:rsidRPr="002D5691">
              <w:rPr>
                <w:rFonts w:asciiTheme="minorHAnsi" w:hAnsiTheme="minorHAnsi" w:cs="Arial"/>
                <w:sz w:val="18"/>
                <w:szCs w:val="18"/>
              </w:rPr>
              <w:t>Wellington City</w:t>
            </w:r>
          </w:p>
        </w:tc>
        <w:tc>
          <w:tcPr>
            <w:tcW w:w="1471" w:type="dxa"/>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319" w:type="dxa"/>
            <w:vAlign w:val="center"/>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783" w:type="dxa"/>
            <w:vAlign w:val="center"/>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156" w:type="dxa"/>
            <w:vAlign w:val="center"/>
          </w:tcPr>
          <w:p w:rsidR="009E0C89" w:rsidRPr="002D5691" w:rsidRDefault="009E0C89" w:rsidP="001F23F2">
            <w:pPr>
              <w:pStyle w:val="ListParagraph"/>
              <w:numPr>
                <w:ilvl w:val="0"/>
                <w:numId w:val="23"/>
              </w:numPr>
              <w:spacing w:before="60" w:after="60" w:line="240" w:lineRule="auto"/>
              <w:contextualSpacing/>
              <w:rPr>
                <w:rFonts w:asciiTheme="minorHAnsi" w:hAnsiTheme="minorHAnsi" w:cs="Arial"/>
                <w:b/>
                <w:color w:val="000000" w:themeColor="text1"/>
                <w:sz w:val="18"/>
                <w:szCs w:val="18"/>
              </w:rPr>
            </w:pPr>
          </w:p>
        </w:tc>
        <w:tc>
          <w:tcPr>
            <w:tcW w:w="1315" w:type="dxa"/>
            <w:tcBorders>
              <w:right w:val="nil"/>
            </w:tcBorders>
            <w:vAlign w:val="center"/>
          </w:tcPr>
          <w:p w:rsidR="009E0C89" w:rsidRPr="002D5691" w:rsidRDefault="009E0C89" w:rsidP="009E0C89">
            <w:pPr>
              <w:spacing w:before="60" w:after="60"/>
              <w:jc w:val="left"/>
              <w:rPr>
                <w:rFonts w:asciiTheme="minorHAnsi" w:hAnsiTheme="minorHAnsi" w:cs="Arial"/>
                <w:b/>
                <w:color w:val="000000" w:themeColor="text1"/>
                <w:sz w:val="18"/>
                <w:szCs w:val="18"/>
              </w:rPr>
            </w:pPr>
          </w:p>
        </w:tc>
      </w:tr>
      <w:tr w:rsidR="009E0C89" w:rsidRPr="002D5691" w:rsidTr="001B431E">
        <w:tc>
          <w:tcPr>
            <w:tcW w:w="1772" w:type="dxa"/>
            <w:tcBorders>
              <w:left w:val="nil"/>
            </w:tcBorders>
          </w:tcPr>
          <w:p w:rsidR="009E0C89" w:rsidRPr="002D5691" w:rsidRDefault="009E0C89" w:rsidP="009E0C89">
            <w:pPr>
              <w:spacing w:before="60" w:after="60"/>
              <w:jc w:val="left"/>
              <w:rPr>
                <w:rFonts w:asciiTheme="minorHAnsi" w:hAnsiTheme="minorHAnsi" w:cs="Arial"/>
                <w:color w:val="000000" w:themeColor="text1"/>
                <w:sz w:val="18"/>
                <w:szCs w:val="18"/>
              </w:rPr>
            </w:pPr>
            <w:r w:rsidRPr="002D5691">
              <w:rPr>
                <w:rFonts w:asciiTheme="minorHAnsi" w:hAnsiTheme="minorHAnsi" w:cs="Arial"/>
                <w:sz w:val="18"/>
                <w:szCs w:val="18"/>
              </w:rPr>
              <w:t>Greater Christchurch</w:t>
            </w:r>
          </w:p>
        </w:tc>
        <w:tc>
          <w:tcPr>
            <w:tcW w:w="1471" w:type="dxa"/>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319" w:type="dxa"/>
            <w:vAlign w:val="center"/>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783" w:type="dxa"/>
            <w:vAlign w:val="center"/>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156" w:type="dxa"/>
            <w:vAlign w:val="center"/>
          </w:tcPr>
          <w:p w:rsidR="009E0C89" w:rsidRPr="002D5691" w:rsidRDefault="009E0C89" w:rsidP="001F23F2">
            <w:pPr>
              <w:pStyle w:val="ListParagraph"/>
              <w:numPr>
                <w:ilvl w:val="0"/>
                <w:numId w:val="23"/>
              </w:numPr>
              <w:spacing w:before="60" w:after="60" w:line="240" w:lineRule="auto"/>
              <w:contextualSpacing/>
              <w:rPr>
                <w:rFonts w:asciiTheme="minorHAnsi" w:hAnsiTheme="minorHAnsi" w:cs="Arial"/>
                <w:b/>
                <w:color w:val="000000" w:themeColor="text1"/>
                <w:sz w:val="18"/>
                <w:szCs w:val="18"/>
              </w:rPr>
            </w:pPr>
          </w:p>
        </w:tc>
        <w:tc>
          <w:tcPr>
            <w:tcW w:w="1315" w:type="dxa"/>
            <w:tcBorders>
              <w:right w:val="nil"/>
            </w:tcBorders>
            <w:vAlign w:val="center"/>
          </w:tcPr>
          <w:p w:rsidR="009E0C89" w:rsidRPr="002D5691" w:rsidRDefault="009E0C89" w:rsidP="009E0C89">
            <w:pPr>
              <w:spacing w:before="60" w:after="60"/>
              <w:jc w:val="left"/>
              <w:rPr>
                <w:rFonts w:asciiTheme="minorHAnsi" w:hAnsiTheme="minorHAnsi" w:cs="Arial"/>
                <w:b/>
                <w:color w:val="000000" w:themeColor="text1"/>
                <w:sz w:val="18"/>
                <w:szCs w:val="18"/>
              </w:rPr>
            </w:pPr>
          </w:p>
        </w:tc>
      </w:tr>
      <w:tr w:rsidR="009E0C89" w:rsidRPr="002D5691" w:rsidTr="001B431E">
        <w:tc>
          <w:tcPr>
            <w:tcW w:w="1772" w:type="dxa"/>
            <w:tcBorders>
              <w:left w:val="nil"/>
            </w:tcBorders>
          </w:tcPr>
          <w:p w:rsidR="009E0C89" w:rsidRPr="002D5691" w:rsidRDefault="009E0C89" w:rsidP="009E0C89">
            <w:pPr>
              <w:spacing w:before="60" w:after="60"/>
              <w:jc w:val="left"/>
              <w:rPr>
                <w:rFonts w:asciiTheme="minorHAnsi" w:hAnsiTheme="minorHAnsi" w:cs="Arial"/>
                <w:color w:val="000000" w:themeColor="text1"/>
                <w:sz w:val="18"/>
                <w:szCs w:val="18"/>
              </w:rPr>
            </w:pPr>
            <w:r w:rsidRPr="002D5691">
              <w:rPr>
                <w:rFonts w:asciiTheme="minorHAnsi" w:hAnsiTheme="minorHAnsi" w:cs="Arial"/>
                <w:sz w:val="18"/>
                <w:szCs w:val="18"/>
              </w:rPr>
              <w:t>Christchurch City</w:t>
            </w:r>
          </w:p>
        </w:tc>
        <w:tc>
          <w:tcPr>
            <w:tcW w:w="1471" w:type="dxa"/>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319" w:type="dxa"/>
            <w:vAlign w:val="center"/>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783" w:type="dxa"/>
            <w:vAlign w:val="center"/>
          </w:tcPr>
          <w:p w:rsidR="009E0C89" w:rsidRPr="002D5691" w:rsidRDefault="009E0C89" w:rsidP="009E0C89">
            <w:pPr>
              <w:spacing w:before="60" w:after="60"/>
              <w:jc w:val="left"/>
              <w:rPr>
                <w:rFonts w:asciiTheme="minorHAnsi" w:hAnsiTheme="minorHAnsi" w:cs="Arial"/>
                <w:b/>
                <w:color w:val="000000" w:themeColor="text1"/>
                <w:sz w:val="18"/>
                <w:szCs w:val="18"/>
              </w:rPr>
            </w:pPr>
          </w:p>
        </w:tc>
        <w:tc>
          <w:tcPr>
            <w:tcW w:w="1156" w:type="dxa"/>
            <w:vAlign w:val="center"/>
          </w:tcPr>
          <w:p w:rsidR="009E0C89" w:rsidRPr="002D5691" w:rsidRDefault="009E0C89" w:rsidP="001F23F2">
            <w:pPr>
              <w:pStyle w:val="ListParagraph"/>
              <w:numPr>
                <w:ilvl w:val="0"/>
                <w:numId w:val="23"/>
              </w:numPr>
              <w:spacing w:before="60" w:after="60" w:line="240" w:lineRule="auto"/>
              <w:contextualSpacing/>
              <w:rPr>
                <w:rFonts w:asciiTheme="minorHAnsi" w:hAnsiTheme="minorHAnsi" w:cs="Arial"/>
                <w:b/>
                <w:color w:val="000000" w:themeColor="text1"/>
                <w:sz w:val="18"/>
                <w:szCs w:val="18"/>
              </w:rPr>
            </w:pPr>
          </w:p>
        </w:tc>
        <w:tc>
          <w:tcPr>
            <w:tcW w:w="1315" w:type="dxa"/>
            <w:tcBorders>
              <w:right w:val="nil"/>
            </w:tcBorders>
            <w:vAlign w:val="center"/>
          </w:tcPr>
          <w:p w:rsidR="009E0C89" w:rsidRPr="002D5691" w:rsidRDefault="009E0C89" w:rsidP="009E0C89">
            <w:pPr>
              <w:spacing w:before="60" w:after="60"/>
              <w:jc w:val="left"/>
              <w:rPr>
                <w:rFonts w:asciiTheme="minorHAnsi" w:hAnsiTheme="minorHAnsi" w:cs="Arial"/>
                <w:b/>
                <w:color w:val="000000" w:themeColor="text1"/>
                <w:sz w:val="18"/>
                <w:szCs w:val="18"/>
              </w:rPr>
            </w:pPr>
          </w:p>
        </w:tc>
      </w:tr>
      <w:tr w:rsidR="009E0C89" w:rsidRPr="002D5691" w:rsidTr="001B431E">
        <w:tc>
          <w:tcPr>
            <w:tcW w:w="1772" w:type="dxa"/>
            <w:tcBorders>
              <w:left w:val="nil"/>
            </w:tcBorders>
          </w:tcPr>
          <w:p w:rsidR="009E0C89" w:rsidRPr="002D5691" w:rsidRDefault="009E0C89" w:rsidP="009E0C89">
            <w:pPr>
              <w:spacing w:before="60" w:after="60"/>
              <w:jc w:val="left"/>
              <w:rPr>
                <w:rFonts w:asciiTheme="minorHAnsi" w:hAnsiTheme="minorHAnsi" w:cs="Arial"/>
                <w:sz w:val="18"/>
                <w:szCs w:val="18"/>
              </w:rPr>
            </w:pPr>
            <w:r w:rsidRPr="002D5691">
              <w:rPr>
                <w:rFonts w:asciiTheme="minorHAnsi" w:hAnsiTheme="minorHAnsi" w:cs="Arial"/>
                <w:sz w:val="18"/>
                <w:szCs w:val="18"/>
              </w:rPr>
              <w:t>Selwyn District</w:t>
            </w:r>
          </w:p>
        </w:tc>
        <w:tc>
          <w:tcPr>
            <w:tcW w:w="1471" w:type="dxa"/>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319" w:type="dxa"/>
            <w:vAlign w:val="center"/>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783" w:type="dxa"/>
            <w:vAlign w:val="center"/>
          </w:tcPr>
          <w:p w:rsidR="009E0C89" w:rsidRPr="002D5691" w:rsidRDefault="009E0C89" w:rsidP="009E0C89">
            <w:pPr>
              <w:spacing w:before="60" w:after="60"/>
              <w:jc w:val="left"/>
              <w:rPr>
                <w:rFonts w:asciiTheme="minorHAnsi" w:hAnsiTheme="minorHAnsi" w:cs="Arial"/>
                <w:b/>
                <w:color w:val="000000" w:themeColor="text1"/>
                <w:sz w:val="18"/>
                <w:szCs w:val="18"/>
              </w:rPr>
            </w:pPr>
          </w:p>
        </w:tc>
        <w:tc>
          <w:tcPr>
            <w:tcW w:w="1156" w:type="dxa"/>
            <w:vAlign w:val="center"/>
          </w:tcPr>
          <w:p w:rsidR="009E0C89" w:rsidRPr="002D5691" w:rsidRDefault="009E0C89" w:rsidP="009E0C89">
            <w:pPr>
              <w:spacing w:before="60" w:after="60"/>
              <w:jc w:val="left"/>
              <w:rPr>
                <w:rFonts w:asciiTheme="minorHAnsi" w:hAnsiTheme="minorHAnsi" w:cs="Arial"/>
                <w:b/>
                <w:color w:val="000000" w:themeColor="text1"/>
                <w:sz w:val="18"/>
                <w:szCs w:val="18"/>
              </w:rPr>
            </w:pPr>
          </w:p>
        </w:tc>
        <w:tc>
          <w:tcPr>
            <w:tcW w:w="1315" w:type="dxa"/>
            <w:tcBorders>
              <w:right w:val="nil"/>
            </w:tcBorders>
            <w:vAlign w:val="center"/>
          </w:tcPr>
          <w:p w:rsidR="009E0C89" w:rsidRPr="002D5691" w:rsidRDefault="009E0C89" w:rsidP="009E0C89">
            <w:pPr>
              <w:spacing w:before="60" w:after="60"/>
              <w:jc w:val="left"/>
              <w:rPr>
                <w:rFonts w:asciiTheme="minorHAnsi" w:hAnsiTheme="minorHAnsi" w:cs="Arial"/>
                <w:b/>
                <w:color w:val="000000" w:themeColor="text1"/>
                <w:sz w:val="18"/>
                <w:szCs w:val="18"/>
              </w:rPr>
            </w:pPr>
          </w:p>
        </w:tc>
      </w:tr>
      <w:tr w:rsidR="009E0C89" w:rsidRPr="002D5691" w:rsidTr="001B431E">
        <w:tc>
          <w:tcPr>
            <w:tcW w:w="1772" w:type="dxa"/>
            <w:tcBorders>
              <w:left w:val="nil"/>
            </w:tcBorders>
          </w:tcPr>
          <w:p w:rsidR="009E0C89" w:rsidRPr="002D5691" w:rsidRDefault="009E0C89" w:rsidP="009E0C89">
            <w:pPr>
              <w:spacing w:before="60" w:after="60"/>
              <w:jc w:val="left"/>
              <w:rPr>
                <w:rFonts w:asciiTheme="minorHAnsi" w:hAnsiTheme="minorHAnsi" w:cs="Arial"/>
                <w:sz w:val="18"/>
                <w:szCs w:val="18"/>
              </w:rPr>
            </w:pPr>
            <w:r w:rsidRPr="002D5691">
              <w:rPr>
                <w:rFonts w:asciiTheme="minorHAnsi" w:hAnsiTheme="minorHAnsi" w:cs="Arial"/>
                <w:sz w:val="18"/>
                <w:szCs w:val="18"/>
              </w:rPr>
              <w:t xml:space="preserve">Queenstown-Lakes </w:t>
            </w:r>
          </w:p>
        </w:tc>
        <w:tc>
          <w:tcPr>
            <w:tcW w:w="1471" w:type="dxa"/>
          </w:tcPr>
          <w:p w:rsidR="009E0C89" w:rsidRPr="002D5691" w:rsidRDefault="009E0C89" w:rsidP="009E0C89">
            <w:pPr>
              <w:pStyle w:val="ListParagraph"/>
              <w:spacing w:before="60" w:after="60"/>
              <w:ind w:firstLine="0"/>
              <w:rPr>
                <w:rFonts w:asciiTheme="minorHAnsi" w:hAnsiTheme="minorHAnsi" w:cs="Arial"/>
                <w:b/>
                <w:color w:val="000000" w:themeColor="text1"/>
                <w:sz w:val="18"/>
                <w:szCs w:val="18"/>
              </w:rPr>
            </w:pPr>
          </w:p>
        </w:tc>
        <w:tc>
          <w:tcPr>
            <w:tcW w:w="1319" w:type="dxa"/>
            <w:vAlign w:val="center"/>
          </w:tcPr>
          <w:p w:rsidR="009E0C89" w:rsidRPr="002D5691" w:rsidRDefault="009E0C89" w:rsidP="001F23F2">
            <w:pPr>
              <w:pStyle w:val="ListParagraph"/>
              <w:numPr>
                <w:ilvl w:val="0"/>
                <w:numId w:val="22"/>
              </w:numPr>
              <w:spacing w:before="60" w:after="60" w:line="240" w:lineRule="auto"/>
              <w:contextualSpacing/>
              <w:rPr>
                <w:rFonts w:asciiTheme="minorHAnsi" w:hAnsiTheme="minorHAnsi" w:cs="Arial"/>
                <w:b/>
                <w:color w:val="000000" w:themeColor="text1"/>
                <w:sz w:val="18"/>
                <w:szCs w:val="18"/>
              </w:rPr>
            </w:pPr>
          </w:p>
        </w:tc>
        <w:tc>
          <w:tcPr>
            <w:tcW w:w="1783" w:type="dxa"/>
            <w:vAlign w:val="center"/>
          </w:tcPr>
          <w:p w:rsidR="009E0C89" w:rsidRPr="002D5691" w:rsidRDefault="009E0C89" w:rsidP="009E0C89">
            <w:pPr>
              <w:pStyle w:val="ListParagraph"/>
              <w:spacing w:before="60" w:after="60"/>
              <w:ind w:firstLine="0"/>
              <w:rPr>
                <w:rFonts w:asciiTheme="minorHAnsi" w:hAnsiTheme="minorHAnsi" w:cs="Arial"/>
                <w:b/>
                <w:color w:val="000000" w:themeColor="text1"/>
                <w:sz w:val="18"/>
                <w:szCs w:val="18"/>
              </w:rPr>
            </w:pPr>
          </w:p>
        </w:tc>
        <w:tc>
          <w:tcPr>
            <w:tcW w:w="1156" w:type="dxa"/>
            <w:vAlign w:val="center"/>
          </w:tcPr>
          <w:p w:rsidR="009E0C89" w:rsidRPr="002D5691" w:rsidRDefault="009E0C89" w:rsidP="009E0C89">
            <w:pPr>
              <w:pStyle w:val="ListParagraph"/>
              <w:spacing w:before="60" w:after="60"/>
              <w:ind w:firstLine="0"/>
              <w:rPr>
                <w:rFonts w:asciiTheme="minorHAnsi" w:hAnsiTheme="minorHAnsi" w:cs="Arial"/>
                <w:b/>
                <w:color w:val="000000" w:themeColor="text1"/>
                <w:sz w:val="18"/>
                <w:szCs w:val="18"/>
              </w:rPr>
            </w:pPr>
          </w:p>
        </w:tc>
        <w:tc>
          <w:tcPr>
            <w:tcW w:w="1315" w:type="dxa"/>
            <w:tcBorders>
              <w:right w:val="nil"/>
            </w:tcBorders>
            <w:vAlign w:val="center"/>
          </w:tcPr>
          <w:p w:rsidR="009E0C89" w:rsidRPr="002D5691" w:rsidRDefault="009E0C89" w:rsidP="009E0C89">
            <w:pPr>
              <w:pStyle w:val="ListParagraph"/>
              <w:spacing w:before="60" w:after="60"/>
              <w:ind w:firstLine="0"/>
              <w:rPr>
                <w:rFonts w:asciiTheme="minorHAnsi" w:hAnsiTheme="minorHAnsi" w:cs="Arial"/>
                <w:b/>
                <w:color w:val="000000" w:themeColor="text1"/>
                <w:sz w:val="18"/>
                <w:szCs w:val="18"/>
              </w:rPr>
            </w:pPr>
          </w:p>
        </w:tc>
      </w:tr>
    </w:tbl>
    <w:p w:rsidR="009E0C89" w:rsidRPr="00476B33" w:rsidRDefault="009E0C89" w:rsidP="00B21976">
      <w:pPr>
        <w:pStyle w:val="BodyText"/>
        <w:spacing w:before="240"/>
      </w:pPr>
      <w:r>
        <w:t>Queenstown-Lakes District</w:t>
      </w:r>
      <w:r w:rsidRPr="00476B33">
        <w:t xml:space="preserve"> </w:t>
      </w:r>
      <w:r>
        <w:t xml:space="preserve">undertakes relatively comprehensive residential demand forecasting for its small population base. Greater Christchurch undertakes some forecasting on behalf of member councils (depending on what the outputs are and how they are going to be used), while </w:t>
      </w:r>
      <w:r w:rsidRPr="00476B33">
        <w:t>Greater Wellington</w:t>
      </w:r>
      <w:r>
        <w:t xml:space="preserve"> leaves most of this analysis to the </w:t>
      </w:r>
      <w:r w:rsidRPr="00476B33">
        <w:t xml:space="preserve">territorial authorities </w:t>
      </w:r>
      <w:r>
        <w:t>in the Wellington region</w:t>
      </w:r>
      <w:r w:rsidRPr="00476B33">
        <w:t xml:space="preserve">. </w:t>
      </w:r>
    </w:p>
    <w:p w:rsidR="009E0C89" w:rsidRPr="00D25FDD" w:rsidRDefault="00C801E1" w:rsidP="003A4A32">
      <w:pPr>
        <w:pStyle w:val="Heading2"/>
      </w:pPr>
      <w:bookmarkStart w:id="28" w:name="_Toc455071982"/>
      <w:bookmarkStart w:id="29" w:name="_Toc455410517"/>
      <w:r>
        <w:t>5.2</w:t>
      </w:r>
      <w:r>
        <w:tab/>
      </w:r>
      <w:r w:rsidR="009E0C89">
        <w:t>Residential demand methodology flow chart</w:t>
      </w:r>
      <w:bookmarkEnd w:id="28"/>
      <w:bookmarkEnd w:id="29"/>
    </w:p>
    <w:p w:rsidR="009E0C89" w:rsidRDefault="009E0C89" w:rsidP="00C801E1">
      <w:pPr>
        <w:pStyle w:val="BodyText"/>
      </w:pPr>
      <w:r w:rsidRPr="00AF172E">
        <w:t xml:space="preserve">The following flow chart provides an overview of </w:t>
      </w:r>
      <w:r>
        <w:t xml:space="preserve">all the steps that can be taken to forecast </w:t>
      </w:r>
      <w:r w:rsidRPr="00AF172E">
        <w:t>residential demand.</w:t>
      </w:r>
      <w:r>
        <w:t xml:space="preserve"> Most </w:t>
      </w:r>
      <w:proofErr w:type="gramStart"/>
      <w:r>
        <w:t>councils</w:t>
      </w:r>
      <w:proofErr w:type="gramEnd"/>
      <w:r>
        <w:t xml:space="preserve"> only undertake some of these steps.</w:t>
      </w:r>
    </w:p>
    <w:p w:rsidR="00C801E1" w:rsidRPr="00C801E1" w:rsidRDefault="00C801E1" w:rsidP="00C801E1">
      <w:pPr>
        <w:pStyle w:val="Figureheading"/>
      </w:pPr>
      <w:r>
        <w:t>Figure 2: Residential demand methodology flow</w:t>
      </w:r>
    </w:p>
    <w:p w:rsidR="009E0C89" w:rsidRPr="00294432" w:rsidRDefault="009E0C89" w:rsidP="009E0C89">
      <w:pPr>
        <w:pStyle w:val="INTROtext"/>
        <w:spacing w:before="240"/>
        <w:rPr>
          <w:rFonts w:ascii="Arial" w:hAnsi="Arial" w:cs="Arial"/>
          <w:color w:val="000000" w:themeColor="text1"/>
          <w:sz w:val="18"/>
        </w:rPr>
      </w:pPr>
    </w:p>
    <w:p w:rsidR="009E0C89" w:rsidRPr="00294432" w:rsidRDefault="009E0C89" w:rsidP="009E0C89">
      <w:pPr>
        <w:pStyle w:val="INTROtext"/>
        <w:spacing w:before="240"/>
        <w:rPr>
          <w:rFonts w:ascii="Arial" w:hAnsi="Arial" w:cs="Arial"/>
          <w:color w:val="000000" w:themeColor="text1"/>
          <w:sz w:val="18"/>
        </w:rPr>
      </w:pPr>
      <w:r w:rsidRPr="00476B33">
        <w:rPr>
          <w:rFonts w:ascii="Arial" w:hAnsi="Arial" w:cs="Arial"/>
          <w:noProof/>
          <w:lang w:eastAsia="en-NZ"/>
        </w:rPr>
        <w:drawing>
          <wp:anchor distT="0" distB="0" distL="114300" distR="114300" simplePos="0" relativeHeight="251660288" behindDoc="1" locked="0" layoutInCell="1" allowOverlap="1" wp14:anchorId="71E75A32" wp14:editId="537C2F17">
            <wp:simplePos x="0" y="0"/>
            <wp:positionH relativeFrom="margin">
              <wp:posOffset>-236220</wp:posOffset>
            </wp:positionH>
            <wp:positionV relativeFrom="paragraph">
              <wp:posOffset>-411480</wp:posOffset>
            </wp:positionV>
            <wp:extent cx="5866765" cy="69195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866765" cy="6919595"/>
                    </a:xfrm>
                    <a:prstGeom prst="rect">
                      <a:avLst/>
                    </a:prstGeom>
                  </pic:spPr>
                </pic:pic>
              </a:graphicData>
            </a:graphic>
            <wp14:sizeRelH relativeFrom="page">
              <wp14:pctWidth>0</wp14:pctWidth>
            </wp14:sizeRelH>
            <wp14:sizeRelV relativeFrom="page">
              <wp14:pctHeight>0</wp14:pctHeight>
            </wp14:sizeRelV>
          </wp:anchor>
        </w:drawing>
      </w:r>
    </w:p>
    <w:p w:rsidR="009E0C89" w:rsidRDefault="009E0C89" w:rsidP="009E0C89">
      <w:pPr>
        <w:pStyle w:val="Heading2"/>
        <w:keepLines w:val="0"/>
        <w:spacing w:before="240" w:after="60"/>
        <w:rPr>
          <w:sz w:val="22"/>
          <w:szCs w:val="22"/>
        </w:rPr>
      </w:pPr>
    </w:p>
    <w:p w:rsidR="009E0C89" w:rsidRDefault="009E0C89" w:rsidP="009E0C89">
      <w:pPr>
        <w:rPr>
          <w:rFonts w:ascii="Arial" w:eastAsiaTheme="majorEastAsia" w:hAnsi="Arial" w:cstheme="majorBidi"/>
          <w:b/>
          <w:bCs/>
          <w:color w:val="4F81BD" w:themeColor="accent1"/>
          <w:lang w:eastAsia="zh-CN"/>
        </w:rPr>
      </w:pPr>
      <w:r>
        <w:br w:type="page"/>
      </w:r>
    </w:p>
    <w:p w:rsidR="009E0C89" w:rsidRPr="002B1B2F" w:rsidRDefault="007A2E1D" w:rsidP="007A2E1D">
      <w:pPr>
        <w:pStyle w:val="Heading2"/>
        <w:rPr>
          <w:rFonts w:eastAsia="SimSun"/>
        </w:rPr>
      </w:pPr>
      <w:bookmarkStart w:id="30" w:name="_Toc455071983"/>
      <w:bookmarkStart w:id="31" w:name="_Toc455410518"/>
      <w:r>
        <w:t>5.3</w:t>
      </w:r>
      <w:r>
        <w:tab/>
      </w:r>
      <w:r w:rsidR="009E0C89" w:rsidRPr="007A2E1D">
        <w:t>Inputs: population and household growth projections</w:t>
      </w:r>
      <w:bookmarkEnd w:id="30"/>
      <w:bookmarkEnd w:id="31"/>
      <w:r w:rsidR="009E0C89" w:rsidRPr="007A2E1D">
        <w:t xml:space="preserve"> </w:t>
      </w:r>
    </w:p>
    <w:p w:rsidR="009E0C89" w:rsidRPr="00476B33" w:rsidRDefault="009E0C89" w:rsidP="001F23F2">
      <w:pPr>
        <w:pStyle w:val="BodyText"/>
      </w:pPr>
      <w:r>
        <w:t>P</w:t>
      </w:r>
      <w:r w:rsidRPr="00476B33">
        <w:t>rojections of population and household growth</w:t>
      </w:r>
      <w:r>
        <w:t xml:space="preserve"> provide the</w:t>
      </w:r>
      <w:r w:rsidRPr="00AF172E">
        <w:t xml:space="preserve"> basis for estimating residential demand</w:t>
      </w:r>
      <w:r>
        <w:t>;</w:t>
      </w:r>
      <w:r w:rsidRPr="00476B33">
        <w:t xml:space="preserve"> </w:t>
      </w:r>
      <w:r>
        <w:t xml:space="preserve">these projections are </w:t>
      </w:r>
      <w:r w:rsidRPr="004F3741">
        <w:t>at a relatively fine level of geographic detail</w:t>
      </w:r>
      <w:r>
        <w:t>. Population and household projections differ from each other, reflecting the fact that dwelling occupancy rates vary between different places, and are falling over time in line with international trends</w:t>
      </w:r>
      <w:r>
        <w:rPr>
          <w:rStyle w:val="FootnoteReference"/>
          <w:rFonts w:ascii="Arial" w:hAnsi="Arial" w:cs="Arial"/>
          <w:color w:val="000000" w:themeColor="text1"/>
        </w:rPr>
        <w:footnoteReference w:id="5"/>
      </w:r>
      <w:r>
        <w:t xml:space="preserve">. </w:t>
      </w:r>
      <w:r w:rsidRPr="00476B33">
        <w:t>Some</w:t>
      </w:r>
      <w:r>
        <w:t xml:space="preserve"> of the councils</w:t>
      </w:r>
      <w:r w:rsidRPr="00476B33">
        <w:t xml:space="preserve"> </w:t>
      </w:r>
      <w:r>
        <w:t xml:space="preserve">surveyed </w:t>
      </w:r>
      <w:r w:rsidRPr="00476B33">
        <w:t>also use information about household structure to estimate demand for different types of dwellings.</w:t>
      </w:r>
    </w:p>
    <w:p w:rsidR="009E0C89" w:rsidRPr="00476B33" w:rsidRDefault="009E0C89" w:rsidP="001F23F2">
      <w:pPr>
        <w:pStyle w:val="BodyText"/>
      </w:pPr>
      <w:r w:rsidRPr="00476B33">
        <w:t xml:space="preserve">All </w:t>
      </w:r>
      <w:r>
        <w:t>councils</w:t>
      </w:r>
      <w:r w:rsidRPr="00476B33">
        <w:t xml:space="preserve"> use Statistics New Zealand’s subnational population and household growth projections as a starting point. These are available as low, medium, and high scenarios which use different fertility, mortality, and migration assumptions. </w:t>
      </w:r>
    </w:p>
    <w:p w:rsidR="009E0C89" w:rsidRPr="00476B33" w:rsidRDefault="009E0C89" w:rsidP="001F23F2">
      <w:pPr>
        <w:pStyle w:val="BodyText"/>
      </w:pPr>
      <w:r w:rsidRPr="00476B33">
        <w:t xml:space="preserve">However, outside of Auckland, </w:t>
      </w:r>
      <w:r>
        <w:t>councils</w:t>
      </w:r>
      <w:r w:rsidRPr="00476B33">
        <w:t xml:space="preserve"> </w:t>
      </w:r>
      <w:r>
        <w:t xml:space="preserve">(territorial authorities in general) </w:t>
      </w:r>
      <w:r w:rsidRPr="00476B33">
        <w:t xml:space="preserve">consider these projections inadequate and source alternative projections from organisations such as </w:t>
      </w:r>
      <w:proofErr w:type="spellStart"/>
      <w:r w:rsidRPr="00476B33">
        <w:t>ForecastID</w:t>
      </w:r>
      <w:proofErr w:type="spellEnd"/>
      <w:r w:rsidRPr="00476B33">
        <w:t>, BERL and NIDEA.</w:t>
      </w:r>
      <w:r>
        <w:t xml:space="preserve"> For example, while Greater Christchurch </w:t>
      </w:r>
      <w:proofErr w:type="gramStart"/>
      <w:r>
        <w:t>are</w:t>
      </w:r>
      <w:proofErr w:type="gramEnd"/>
      <w:r>
        <w:t xml:space="preserve"> satisfied with the high-level projections provided by Statistics New Zealand, they require a greater level of detail to inform development of the Urban Development Strategy and the Canterbury Regional Policy Statement. In particular, t</w:t>
      </w:r>
      <w:r w:rsidRPr="00476B33">
        <w:t xml:space="preserve">he smaller </w:t>
      </w:r>
      <w:r>
        <w:t>councils</w:t>
      </w:r>
      <w:r w:rsidRPr="00476B33">
        <w:t xml:space="preserve"> have concerns about:</w:t>
      </w:r>
    </w:p>
    <w:p w:rsidR="009E0C89" w:rsidRPr="00476B33" w:rsidRDefault="009E0C89" w:rsidP="001F23F2">
      <w:pPr>
        <w:pStyle w:val="Bullet"/>
      </w:pPr>
      <w:r w:rsidRPr="00476B33">
        <w:t>accuracy</w:t>
      </w:r>
      <w:r>
        <w:t>, particularly</w:t>
      </w:r>
      <w:r w:rsidRPr="00476B33">
        <w:t xml:space="preserve"> in terms of geospatial distribution of growth at the sub-regional, district and suburb level</w:t>
      </w:r>
      <w:r>
        <w:t>,</w:t>
      </w:r>
      <w:r w:rsidRPr="00476B33">
        <w:t xml:space="preserve"> the further into the forecast period</w:t>
      </w:r>
    </w:p>
    <w:p w:rsidR="009E0C89" w:rsidRPr="00476B33" w:rsidRDefault="009E0C89" w:rsidP="001F23F2">
      <w:pPr>
        <w:pStyle w:val="Bullet"/>
      </w:pPr>
      <w:r w:rsidRPr="00476B33">
        <w:t>timeliness of the projections</w:t>
      </w:r>
      <w:r>
        <w:t xml:space="preserve"> and </w:t>
      </w:r>
      <w:r w:rsidRPr="00476B33">
        <w:t xml:space="preserve">infrequent updates </w:t>
      </w:r>
    </w:p>
    <w:p w:rsidR="009E0C89" w:rsidRPr="00476B33" w:rsidRDefault="009E0C89" w:rsidP="001F23F2">
      <w:pPr>
        <w:pStyle w:val="Bullet"/>
      </w:pPr>
      <w:proofErr w:type="gramStart"/>
      <w:r w:rsidRPr="00476B33">
        <w:t>accessibility</w:t>
      </w:r>
      <w:proofErr w:type="gramEnd"/>
      <w:r w:rsidRPr="00476B33">
        <w:t xml:space="preserve"> of the information. </w:t>
      </w:r>
    </w:p>
    <w:p w:rsidR="009E0C89" w:rsidRPr="00476B33" w:rsidRDefault="009E0C89" w:rsidP="001F23F2">
      <w:pPr>
        <w:pStyle w:val="BodyText"/>
      </w:pPr>
      <w:r w:rsidRPr="00476B33">
        <w:t xml:space="preserve">Statistics New Zealand uses information from </w:t>
      </w:r>
      <w:r>
        <w:t>councils</w:t>
      </w:r>
      <w:r w:rsidRPr="00476B33">
        <w:t xml:space="preserve"> themselves (about plans and consents) to inform </w:t>
      </w:r>
      <w:r>
        <w:t xml:space="preserve">its </w:t>
      </w:r>
      <w:r w:rsidRPr="00476B33">
        <w:t>projections</w:t>
      </w:r>
      <w:r>
        <w:t>. The</w:t>
      </w:r>
      <w:r w:rsidRPr="00476B33">
        <w:t xml:space="preserve"> information provided by different </w:t>
      </w:r>
      <w:r>
        <w:t>councils</w:t>
      </w:r>
      <w:r w:rsidRPr="00476B33">
        <w:t xml:space="preserve"> varies,</w:t>
      </w:r>
      <w:r>
        <w:t xml:space="preserve"> however,</w:t>
      </w:r>
      <w:r w:rsidRPr="00476B33">
        <w:t xml:space="preserve"> and there is some time delay between the provision of that information and when </w:t>
      </w:r>
      <w:r>
        <w:t>Statistics</w:t>
      </w:r>
      <w:r w:rsidRPr="00476B33">
        <w:t xml:space="preserve"> New Zealand releases its projections. </w:t>
      </w:r>
      <w:r>
        <w:t xml:space="preserve">However, one participant noted that Statistics New Zealand may not currently have the capacity to handle the amount of information that many </w:t>
      </w:r>
      <w:proofErr w:type="gramStart"/>
      <w:r>
        <w:t>councils</w:t>
      </w:r>
      <w:proofErr w:type="gramEnd"/>
      <w:r>
        <w:t xml:space="preserve"> include in their growth models in a consistent way.</w:t>
      </w:r>
    </w:p>
    <w:p w:rsidR="009E0C89" w:rsidRPr="00476B33" w:rsidRDefault="009E0C89" w:rsidP="001F23F2">
      <w:pPr>
        <w:pStyle w:val="BodyText"/>
        <w:rPr>
          <w:color w:val="000000" w:themeColor="text1"/>
        </w:rPr>
      </w:pPr>
      <w:r>
        <w:t>Councils throughout New Zealand</w:t>
      </w:r>
      <w:r w:rsidRPr="00476B33">
        <w:t xml:space="preserve"> </w:t>
      </w:r>
      <w:r>
        <w:t>generally</w:t>
      </w:r>
      <w:r w:rsidRPr="00476B33">
        <w:t xml:space="preserve"> use </w:t>
      </w:r>
      <w:r>
        <w:t>‘</w:t>
      </w:r>
      <w:r w:rsidRPr="00476B33">
        <w:t>optimistic</w:t>
      </w:r>
      <w:r>
        <w:t>’</w:t>
      </w:r>
      <w:r w:rsidRPr="00476B33">
        <w:t xml:space="preserve"> </w:t>
      </w:r>
      <w:r>
        <w:t>growth projections, or projections which are at the higher end of the range. It appears that t</w:t>
      </w:r>
      <w:r w:rsidRPr="00476B33">
        <w:t xml:space="preserve">hese </w:t>
      </w:r>
      <w:r>
        <w:t>do not</w:t>
      </w:r>
      <w:r w:rsidRPr="00476B33">
        <w:t xml:space="preserve"> always match </w:t>
      </w:r>
      <w:r>
        <w:t>observed growth</w:t>
      </w:r>
      <w:r w:rsidRPr="00476B33">
        <w:t xml:space="preserve">, </w:t>
      </w:r>
      <w:r>
        <w:t xml:space="preserve">although this may be more of an issue </w:t>
      </w:r>
      <w:r w:rsidRPr="00476B33">
        <w:t xml:space="preserve">for places outside the areas </w:t>
      </w:r>
      <w:r>
        <w:t>surveyed for this study</w:t>
      </w:r>
      <w:r w:rsidRPr="00476B33">
        <w:t>. When the projections</w:t>
      </w:r>
      <w:r w:rsidRPr="00476B33">
        <w:rPr>
          <w:color w:val="000000" w:themeColor="text1"/>
        </w:rPr>
        <w:t xml:space="preserve"> are combined, they </w:t>
      </w:r>
      <w:r>
        <w:rPr>
          <w:color w:val="000000" w:themeColor="text1"/>
        </w:rPr>
        <w:t xml:space="preserve">can </w:t>
      </w:r>
      <w:r w:rsidRPr="00476B33">
        <w:rPr>
          <w:color w:val="000000" w:themeColor="text1"/>
        </w:rPr>
        <w:t xml:space="preserve">exceed regional growth forecasts, reducing their usefulness for regional transport and infrastructure planning. </w:t>
      </w:r>
    </w:p>
    <w:p w:rsidR="009E0C89" w:rsidRPr="00476B33" w:rsidRDefault="009E0C89" w:rsidP="001F23F2">
      <w:pPr>
        <w:pStyle w:val="BodyText"/>
      </w:pPr>
      <w:r w:rsidRPr="00476B33">
        <w:t xml:space="preserve">Some of the </w:t>
      </w:r>
      <w:r>
        <w:t>interviewees</w:t>
      </w:r>
      <w:r w:rsidRPr="00476B33">
        <w:t xml:space="preserve"> thought that it would be better if all </w:t>
      </w:r>
      <w:r>
        <w:t>councils</w:t>
      </w:r>
      <w:r w:rsidRPr="00476B33">
        <w:t xml:space="preserve"> </w:t>
      </w:r>
      <w:r>
        <w:t xml:space="preserve">consistently </w:t>
      </w:r>
      <w:r w:rsidRPr="00476B33">
        <w:t>use</w:t>
      </w:r>
      <w:r>
        <w:t>d</w:t>
      </w:r>
      <w:r w:rsidRPr="00476B33">
        <w:t xml:space="preserve"> Statistics New Zealand projections. Statistics New Zealand has the official mandate and resources to produce these projections, so they are </w:t>
      </w:r>
      <w:r>
        <w:t xml:space="preserve">perceived as </w:t>
      </w:r>
      <w:r w:rsidRPr="00476B33">
        <w:t xml:space="preserve">independent and </w:t>
      </w:r>
      <w:r>
        <w:t>as being informed by a range of data sources.</w:t>
      </w:r>
      <w:r w:rsidRPr="00476B33">
        <w:t xml:space="preserve"> A suggestion was that the </w:t>
      </w:r>
      <w:r>
        <w:t>national policy statement</w:t>
      </w:r>
      <w:r w:rsidRPr="00476B33">
        <w:t xml:space="preserve"> could require all </w:t>
      </w:r>
      <w:r>
        <w:t>councils</w:t>
      </w:r>
      <w:r w:rsidRPr="00476B33">
        <w:t xml:space="preserve"> to use the range of scenarios </w:t>
      </w:r>
      <w:r>
        <w:t xml:space="preserve">(high, medium and low) </w:t>
      </w:r>
      <w:r w:rsidRPr="00476B33">
        <w:t xml:space="preserve">in </w:t>
      </w:r>
      <w:r>
        <w:t>Statistics New Zealand</w:t>
      </w:r>
      <w:r w:rsidRPr="00476B33">
        <w:t xml:space="preserve"> projections, with any departure from this requiring robust justification. </w:t>
      </w:r>
    </w:p>
    <w:p w:rsidR="009E0C89" w:rsidRPr="00476B33" w:rsidRDefault="009E0C89" w:rsidP="001F23F2">
      <w:pPr>
        <w:pStyle w:val="BodyText"/>
      </w:pPr>
      <w:r w:rsidRPr="00476B33">
        <w:t xml:space="preserve">Statistics New Zealand is </w:t>
      </w:r>
      <w:proofErr w:type="gramStart"/>
      <w:r w:rsidRPr="00476B33">
        <w:t>progressing</w:t>
      </w:r>
      <w:proofErr w:type="gramEnd"/>
      <w:r w:rsidRPr="00476B33">
        <w:t xml:space="preserve"> the preparation of stochastic</w:t>
      </w:r>
      <w:r w:rsidRPr="002B1B2F">
        <w:rPr>
          <w:vertAlign w:val="superscript"/>
        </w:rPr>
        <w:footnoteReference w:id="6"/>
      </w:r>
      <w:r w:rsidRPr="00476B33">
        <w:t xml:space="preserve"> subnational population projections, with the first projections scheduled to be published in 2017. This may help </w:t>
      </w:r>
      <w:r>
        <w:t xml:space="preserve">to </w:t>
      </w:r>
      <w:r w:rsidRPr="00476B33">
        <w:t xml:space="preserve">address some of the concerns that </w:t>
      </w:r>
      <w:r>
        <w:t>councils</w:t>
      </w:r>
      <w:r w:rsidRPr="00476B33">
        <w:t xml:space="preserve"> have about the accuracy and timeliness of projections.</w:t>
      </w:r>
    </w:p>
    <w:p w:rsidR="009E0C89" w:rsidRPr="001F23F2" w:rsidRDefault="001F23F2" w:rsidP="003A4A32">
      <w:pPr>
        <w:pStyle w:val="Heading2"/>
      </w:pPr>
      <w:bookmarkStart w:id="32" w:name="_Toc449041598"/>
      <w:bookmarkStart w:id="33" w:name="_Toc450660779"/>
      <w:bookmarkStart w:id="34" w:name="_Toc455071984"/>
      <w:bookmarkStart w:id="35" w:name="_Toc455410519"/>
      <w:bookmarkStart w:id="36" w:name="_Toc450660782"/>
      <w:bookmarkStart w:id="37" w:name="_Toc451436460"/>
      <w:bookmarkEnd w:id="32"/>
      <w:bookmarkEnd w:id="33"/>
      <w:r>
        <w:t>5.</w:t>
      </w:r>
      <w:r w:rsidR="007A2E1D">
        <w:t>4</w:t>
      </w:r>
      <w:r>
        <w:tab/>
      </w:r>
      <w:r w:rsidR="009E0C89" w:rsidRPr="001F23F2">
        <w:t>Estimating demands for different types of dwellings</w:t>
      </w:r>
      <w:bookmarkEnd w:id="34"/>
      <w:bookmarkEnd w:id="35"/>
      <w:r w:rsidR="009E0C89" w:rsidRPr="001F23F2">
        <w:t xml:space="preserve"> </w:t>
      </w:r>
      <w:bookmarkEnd w:id="36"/>
      <w:bookmarkEnd w:id="37"/>
    </w:p>
    <w:p w:rsidR="009E0C89" w:rsidRPr="00476B33" w:rsidRDefault="009E0C89" w:rsidP="001F23F2">
      <w:pPr>
        <w:pStyle w:val="BodyText"/>
      </w:pPr>
      <w:r w:rsidRPr="00476B33">
        <w:t xml:space="preserve">Two thirds of councils </w:t>
      </w:r>
      <w:r>
        <w:t xml:space="preserve">surveyed </w:t>
      </w:r>
      <w:r w:rsidRPr="00476B33">
        <w:t>break down residential demand forecasts by dwelling type (stand-alone, terraced homes, apartments/multi-unit</w:t>
      </w:r>
      <w:r>
        <w:t>)</w:t>
      </w:r>
      <w:r w:rsidRPr="00476B33">
        <w:t>. This is partly in recognition of changing households and preferences.</w:t>
      </w:r>
      <w:r>
        <w:t xml:space="preserve"> </w:t>
      </w:r>
      <w:r w:rsidRPr="00476B33">
        <w:t xml:space="preserve">In addition, different dwelling types </w:t>
      </w:r>
      <w:r>
        <w:t xml:space="preserve">have </w:t>
      </w:r>
      <w:r w:rsidRPr="00476B33">
        <w:t>different</w:t>
      </w:r>
      <w:r>
        <w:t xml:space="preserve"> needs for</w:t>
      </w:r>
      <w:r w:rsidRPr="00476B33">
        <w:t xml:space="preserve"> land </w:t>
      </w:r>
      <w:r>
        <w:t xml:space="preserve">area </w:t>
      </w:r>
      <w:r w:rsidRPr="00476B33">
        <w:t xml:space="preserve">and </w:t>
      </w:r>
      <w:r>
        <w:t>infrastructure</w:t>
      </w:r>
      <w:r w:rsidRPr="00476B33">
        <w:t xml:space="preserve">, </w:t>
      </w:r>
      <w:r>
        <w:t>which</w:t>
      </w:r>
      <w:r w:rsidRPr="00476B33">
        <w:t xml:space="preserve"> can </w:t>
      </w:r>
      <w:r>
        <w:t xml:space="preserve">have a </w:t>
      </w:r>
      <w:r w:rsidRPr="00476B33">
        <w:t xml:space="preserve">significant </w:t>
      </w:r>
      <w:r>
        <w:t xml:space="preserve">impact </w:t>
      </w:r>
      <w:r w:rsidR="001F23F2">
        <w:t>in large areas.</w:t>
      </w:r>
      <w:r w:rsidRPr="00476B33">
        <w:t xml:space="preserve"> </w:t>
      </w:r>
      <w:r>
        <w:t>E</w:t>
      </w:r>
      <w:r w:rsidRPr="00476B33">
        <w:t xml:space="preserve">stimates of demands for </w:t>
      </w:r>
      <w:r>
        <w:t xml:space="preserve">different </w:t>
      </w:r>
      <w:r w:rsidRPr="00476B33">
        <w:t>dwelling types</w:t>
      </w:r>
      <w:r>
        <w:t>, therefore,</w:t>
      </w:r>
      <w:r w:rsidRPr="00476B33">
        <w:t xml:space="preserve"> provide </w:t>
      </w:r>
      <w:r>
        <w:t>important</w:t>
      </w:r>
      <w:r w:rsidRPr="00476B33">
        <w:t xml:space="preserve"> information for planning. </w:t>
      </w:r>
    </w:p>
    <w:p w:rsidR="009E0C89" w:rsidRPr="00476B33" w:rsidRDefault="009E0C89" w:rsidP="001F23F2">
      <w:pPr>
        <w:pStyle w:val="BodyText"/>
      </w:pPr>
      <w:r w:rsidRPr="00476B33">
        <w:t xml:space="preserve">Methods to </w:t>
      </w:r>
      <w:r>
        <w:t>estimate demands by dwelling type</w:t>
      </w:r>
      <w:r w:rsidRPr="00476B33">
        <w:t xml:space="preserve"> vary:</w:t>
      </w:r>
    </w:p>
    <w:p w:rsidR="009E0C89" w:rsidRDefault="009E0C89" w:rsidP="001F23F2">
      <w:pPr>
        <w:pStyle w:val="Bullet"/>
      </w:pPr>
      <w:r w:rsidRPr="00476B33">
        <w:t xml:space="preserve">Some </w:t>
      </w:r>
      <w:proofErr w:type="gramStart"/>
      <w:r>
        <w:t>councils</w:t>
      </w:r>
      <w:proofErr w:type="gramEnd"/>
      <w:r w:rsidRPr="00476B33">
        <w:t xml:space="preserve"> </w:t>
      </w:r>
      <w:r w:rsidRPr="001A1E1B">
        <w:t>take</w:t>
      </w:r>
      <w:r w:rsidRPr="00476B33">
        <w:t xml:space="preserve"> estimates of household growth </w:t>
      </w:r>
      <w:r w:rsidRPr="001A1E1B">
        <w:t>by</w:t>
      </w:r>
      <w:r w:rsidRPr="00476B33">
        <w:t xml:space="preserve"> </w:t>
      </w:r>
      <w:r w:rsidRPr="001A1E1B">
        <w:t xml:space="preserve">different </w:t>
      </w:r>
      <w:r w:rsidRPr="00476B33">
        <w:t>household types</w:t>
      </w:r>
      <w:r w:rsidRPr="00476B33">
        <w:rPr>
          <w:rStyle w:val="FootnoteReference"/>
          <w:rFonts w:ascii="Arial" w:hAnsi="Arial" w:cs="Arial"/>
          <w:color w:val="000000" w:themeColor="text1"/>
          <w:szCs w:val="22"/>
        </w:rPr>
        <w:footnoteReference w:id="7"/>
      </w:r>
      <w:r w:rsidRPr="00476B33">
        <w:t xml:space="preserve"> and allocate these to different dwelling types using preference assumptions based on historic data, international trends or recent research. </w:t>
      </w:r>
      <w:r w:rsidRPr="001A1E1B">
        <w:t>They generally assume that provision of sufficient capacity w</w:t>
      </w:r>
      <w:r>
        <w:t xml:space="preserve">ould meet these demands, and </w:t>
      </w:r>
      <w:r w:rsidRPr="001A1E1B">
        <w:t xml:space="preserve">do not factor in market demand for different prices and </w:t>
      </w:r>
      <w:r>
        <w:t>locations.</w:t>
      </w:r>
    </w:p>
    <w:p w:rsidR="009E0C89" w:rsidRPr="00476B33" w:rsidRDefault="009E0C89" w:rsidP="001F23F2">
      <w:pPr>
        <w:pStyle w:val="Bullet"/>
      </w:pPr>
      <w:r>
        <w:t xml:space="preserve">Auckland and Tauranga City </w:t>
      </w:r>
      <w:r w:rsidRPr="001A1E1B">
        <w:t>a</w:t>
      </w:r>
      <w:r w:rsidRPr="00476B33">
        <w:t xml:space="preserve">ugment this with information about demand </w:t>
      </w:r>
      <w:r>
        <w:t>in different price bands</w:t>
      </w:r>
      <w:r w:rsidRPr="00476B33">
        <w:t xml:space="preserve"> based on research </w:t>
      </w:r>
      <w:r w:rsidRPr="001A1E1B">
        <w:t xml:space="preserve">they have undertaken </w:t>
      </w:r>
      <w:r w:rsidRPr="00476B33">
        <w:t>on affordability</w:t>
      </w:r>
      <w:r>
        <w:t>, while Queenstown-Lakes District has done some high-level work on this in the past through housing needs analysis</w:t>
      </w:r>
      <w:r w:rsidRPr="00476B33">
        <w:t>.</w:t>
      </w:r>
      <w:r>
        <w:t xml:space="preserve"> </w:t>
      </w:r>
      <w:r w:rsidRPr="00476B33">
        <w:t xml:space="preserve">Auckland Council </w:t>
      </w:r>
      <w:r w:rsidRPr="00045DA7">
        <w:t xml:space="preserve">uses the most sophisticated approach, modelling demand responses to </w:t>
      </w:r>
      <w:r w:rsidRPr="00476B33">
        <w:t>medium/high and changing prices</w:t>
      </w:r>
      <w:r w:rsidRPr="00045DA7">
        <w:t>.</w:t>
      </w:r>
      <w:r>
        <w:t xml:space="preserve"> </w:t>
      </w:r>
    </w:p>
    <w:p w:rsidR="009E0C89" w:rsidRPr="00476B33" w:rsidRDefault="009E0C89" w:rsidP="001F23F2">
      <w:pPr>
        <w:pStyle w:val="BodyText"/>
      </w:pPr>
      <w:r>
        <w:t xml:space="preserve">In general, the participants indicated they </w:t>
      </w:r>
      <w:r w:rsidRPr="00476B33">
        <w:t>have bec</w:t>
      </w:r>
      <w:r>
        <w:t>ome more aware of these issues,</w:t>
      </w:r>
      <w:r w:rsidRPr="00476B33">
        <w:t xml:space="preserve"> and </w:t>
      </w:r>
      <w:r>
        <w:t xml:space="preserve">would like </w:t>
      </w:r>
      <w:r w:rsidRPr="00476B33">
        <w:t xml:space="preserve">to improve their </w:t>
      </w:r>
      <w:r>
        <w:t>analysis</w:t>
      </w:r>
      <w:r w:rsidRPr="00476B33">
        <w:t xml:space="preserve"> to better account for housing demand by type and price band. </w:t>
      </w:r>
    </w:p>
    <w:p w:rsidR="009E0C89" w:rsidRPr="00476B33" w:rsidRDefault="001F23F2" w:rsidP="003A4A32">
      <w:pPr>
        <w:pStyle w:val="Heading2"/>
      </w:pPr>
      <w:bookmarkStart w:id="38" w:name="_Toc455071985"/>
      <w:bookmarkStart w:id="39" w:name="_Toc455410520"/>
      <w:r>
        <w:t>5.</w:t>
      </w:r>
      <w:r w:rsidR="007A2E1D">
        <w:t>5</w:t>
      </w:r>
      <w:r>
        <w:tab/>
      </w:r>
      <w:r w:rsidR="009E0C89" w:rsidRPr="003843A1">
        <w:t>Residential d</w:t>
      </w:r>
      <w:r w:rsidR="009E0C89">
        <w:t>emand in existing urban</w:t>
      </w:r>
      <w:r w:rsidR="009E0C89" w:rsidRPr="00476B33">
        <w:t xml:space="preserve"> </w:t>
      </w:r>
      <w:r w:rsidR="009E0C89">
        <w:t>areas</w:t>
      </w:r>
      <w:bookmarkEnd w:id="38"/>
      <w:bookmarkEnd w:id="39"/>
    </w:p>
    <w:p w:rsidR="009E0C89" w:rsidRDefault="009E0C89" w:rsidP="001F23F2">
      <w:pPr>
        <w:pStyle w:val="BodyText"/>
      </w:pPr>
      <w:r w:rsidRPr="00476B33">
        <w:t xml:space="preserve">Auckland Council (and its predecessor </w:t>
      </w:r>
      <w:r>
        <w:t>councils</w:t>
      </w:r>
      <w:r w:rsidRPr="00476B33">
        <w:t>) ha</w:t>
      </w:r>
      <w:r>
        <w:t>s</w:t>
      </w:r>
      <w:r w:rsidRPr="00476B33">
        <w:t xml:space="preserve"> </w:t>
      </w:r>
      <w:r>
        <w:t>forecast</w:t>
      </w:r>
      <w:r w:rsidRPr="00476B33">
        <w:t xml:space="preserve"> </w:t>
      </w:r>
      <w:r w:rsidRPr="004F3741">
        <w:t xml:space="preserve">residential </w:t>
      </w:r>
      <w:r w:rsidRPr="00476B33">
        <w:t xml:space="preserve">demand in </w:t>
      </w:r>
      <w:r>
        <w:t>existing urban</w:t>
      </w:r>
      <w:r w:rsidRPr="00476B33">
        <w:t xml:space="preserve"> areas for many years.</w:t>
      </w:r>
      <w:r>
        <w:t xml:space="preserve"> </w:t>
      </w:r>
      <w:r w:rsidRPr="00476B33">
        <w:t xml:space="preserve">This reflects Auckland’s long-standing high </w:t>
      </w:r>
      <w:r>
        <w:t xml:space="preserve">growth </w:t>
      </w:r>
      <w:r w:rsidRPr="00476B33">
        <w:t>rates</w:t>
      </w:r>
      <w:r>
        <w:t>, its ‘compact city’</w:t>
      </w:r>
      <w:r w:rsidRPr="00476B33">
        <w:t xml:space="preserve"> </w:t>
      </w:r>
      <w:r>
        <w:t xml:space="preserve">policy </w:t>
      </w:r>
      <w:r w:rsidRPr="00476B33">
        <w:t xml:space="preserve">and </w:t>
      </w:r>
      <w:r>
        <w:t xml:space="preserve">experience of urban </w:t>
      </w:r>
      <w:r w:rsidRPr="00476B33">
        <w:t xml:space="preserve">redevelopment. </w:t>
      </w:r>
    </w:p>
    <w:p w:rsidR="009E0C89" w:rsidRDefault="009E0C89" w:rsidP="001F23F2">
      <w:pPr>
        <w:pStyle w:val="BodyText"/>
      </w:pPr>
      <w:r>
        <w:t>O</w:t>
      </w:r>
      <w:r w:rsidRPr="00476B33">
        <w:t xml:space="preserve">ther </w:t>
      </w:r>
      <w:r>
        <w:t>councils</w:t>
      </w:r>
      <w:r w:rsidRPr="00476B33">
        <w:t xml:space="preserve"> have been focused on fore</w:t>
      </w:r>
      <w:r>
        <w:t>casting demand for stand-</w:t>
      </w:r>
      <w:r w:rsidRPr="00476B33">
        <w:t>alone houses in greenfield areas</w:t>
      </w:r>
      <w:r>
        <w:t xml:space="preserve">, however, </w:t>
      </w:r>
      <w:r w:rsidRPr="00476B33">
        <w:t>and have only recently begun to forecast demand</w:t>
      </w:r>
      <w:r>
        <w:t xml:space="preserve"> in existing urban areas, although there have</w:t>
      </w:r>
      <w:r w:rsidRPr="00476B33">
        <w:t xml:space="preserve"> </w:t>
      </w:r>
      <w:r>
        <w:t xml:space="preserve">been some ad hoc demand assessments. </w:t>
      </w:r>
    </w:p>
    <w:p w:rsidR="009E0C89" w:rsidRPr="00476B33" w:rsidRDefault="009E0C89" w:rsidP="001F23F2">
      <w:pPr>
        <w:pStyle w:val="BodyText"/>
      </w:pPr>
      <w:r>
        <w:t xml:space="preserve">The areas experiencing the highest growth areas (Auckland, Tauranga and Queenstown) are putting the most resources into this, and developing the most </w:t>
      </w:r>
      <w:r w:rsidRPr="00476B33">
        <w:t xml:space="preserve">sophisticated methodologies. Wellington </w:t>
      </w:r>
      <w:r>
        <w:t xml:space="preserve">City </w:t>
      </w:r>
      <w:r w:rsidRPr="00476B33">
        <w:t xml:space="preserve">is still developing its </w:t>
      </w:r>
      <w:r>
        <w:t>methodology</w:t>
      </w:r>
      <w:r w:rsidRPr="00476B33">
        <w:t>.</w:t>
      </w:r>
      <w:r>
        <w:rPr>
          <w:sz w:val="18"/>
        </w:rPr>
        <w:t xml:space="preserve"> </w:t>
      </w:r>
      <w:r w:rsidRPr="00476B33">
        <w:rPr>
          <w:color w:val="000000" w:themeColor="text1"/>
        </w:rPr>
        <w:t xml:space="preserve">Auckland </w:t>
      </w:r>
      <w:r>
        <w:rPr>
          <w:color w:val="000000" w:themeColor="text1"/>
        </w:rPr>
        <w:t>estimates demand for</w:t>
      </w:r>
      <w:r w:rsidRPr="00476B33">
        <w:rPr>
          <w:color w:val="000000" w:themeColor="text1"/>
        </w:rPr>
        <w:t xml:space="preserve"> higher density multi-storey development</w:t>
      </w:r>
      <w:r>
        <w:rPr>
          <w:color w:val="000000" w:themeColor="text1"/>
        </w:rPr>
        <w:t xml:space="preserve"> (</w:t>
      </w:r>
      <w:proofErr w:type="spellStart"/>
      <w:r>
        <w:rPr>
          <w:color w:val="000000" w:themeColor="text1"/>
        </w:rPr>
        <w:t>i</w:t>
      </w:r>
      <w:r w:rsidR="00B21976">
        <w:rPr>
          <w:color w:val="000000" w:themeColor="text1"/>
        </w:rPr>
        <w:t>e</w:t>
      </w:r>
      <w:proofErr w:type="spellEnd"/>
      <w:r w:rsidR="00B21976">
        <w:rPr>
          <w:color w:val="000000" w:themeColor="text1"/>
        </w:rPr>
        <w:t>,</w:t>
      </w:r>
      <w:r>
        <w:rPr>
          <w:color w:val="000000" w:themeColor="text1"/>
        </w:rPr>
        <w:t xml:space="preserve"> redevelopment of existing urban land to a higher density)</w:t>
      </w:r>
      <w:r w:rsidRPr="00476B33">
        <w:rPr>
          <w:color w:val="000000" w:themeColor="text1"/>
        </w:rPr>
        <w:t xml:space="preserve">, </w:t>
      </w:r>
      <w:r>
        <w:rPr>
          <w:color w:val="000000" w:themeColor="text1"/>
        </w:rPr>
        <w:t xml:space="preserve">while </w:t>
      </w:r>
      <w:r w:rsidRPr="00476B33">
        <w:rPr>
          <w:color w:val="000000" w:themeColor="text1"/>
        </w:rPr>
        <w:t>other councils concentrate on infill</w:t>
      </w:r>
      <w:r>
        <w:t xml:space="preserve">. </w:t>
      </w:r>
    </w:p>
    <w:p w:rsidR="009E0C89" w:rsidRPr="00476B33" w:rsidRDefault="009E0C89" w:rsidP="001F23F2">
      <w:pPr>
        <w:pStyle w:val="BodyText"/>
      </w:pPr>
      <w:r w:rsidRPr="00476B33">
        <w:t xml:space="preserve">Christchurch </w:t>
      </w:r>
      <w:r>
        <w:t xml:space="preserve">City </w:t>
      </w:r>
      <w:r w:rsidRPr="00476B33">
        <w:t xml:space="preserve">assesses </w:t>
      </w:r>
      <w:r>
        <w:t>the</w:t>
      </w:r>
      <w:r w:rsidRPr="00476B33">
        <w:t xml:space="preserve"> potential for </w:t>
      </w:r>
      <w:r>
        <w:t xml:space="preserve">medium and high density residential </w:t>
      </w:r>
      <w:r w:rsidRPr="00476B33">
        <w:t xml:space="preserve">development in </w:t>
      </w:r>
      <w:r>
        <w:t>the existing urban area, specifically in the medium density zoned areas and the central city</w:t>
      </w:r>
      <w:r w:rsidRPr="00476B33">
        <w:t>. Th</w:t>
      </w:r>
      <w:r>
        <w:t>e results of this analysis have</w:t>
      </w:r>
      <w:r w:rsidRPr="00476B33">
        <w:t xml:space="preserve"> </w:t>
      </w:r>
      <w:r>
        <w:t>shaped</w:t>
      </w:r>
      <w:r w:rsidRPr="00476B33">
        <w:t xml:space="preserve"> the Central City Recovery Plan and </w:t>
      </w:r>
      <w:r>
        <w:t xml:space="preserve">influenced </w:t>
      </w:r>
      <w:r w:rsidRPr="00476B33">
        <w:t xml:space="preserve">the </w:t>
      </w:r>
      <w:r>
        <w:t xml:space="preserve">development of the </w:t>
      </w:r>
      <w:r w:rsidRPr="00476B33">
        <w:t xml:space="preserve">Replacement </w:t>
      </w:r>
      <w:r>
        <w:t xml:space="preserve">Christchurch </w:t>
      </w:r>
      <w:r w:rsidRPr="00476B33">
        <w:t>District Plan.</w:t>
      </w:r>
      <w:r>
        <w:t xml:space="preserve"> Existing z</w:t>
      </w:r>
      <w:r w:rsidRPr="00476B33">
        <w:t>one and height controls were not a significant influence on this as a ‘blank canvas’ approach</w:t>
      </w:r>
      <w:r>
        <w:t xml:space="preserve"> was taken</w:t>
      </w:r>
      <w:r w:rsidRPr="00476B33">
        <w:t xml:space="preserve">, </w:t>
      </w:r>
      <w:r>
        <w:t xml:space="preserve">consistent with </w:t>
      </w:r>
      <w:r w:rsidRPr="00476B33">
        <w:t>the desire to provide housing choice and diversity at a range of price points.</w:t>
      </w:r>
      <w:r>
        <w:t xml:space="preserve"> Much of this work was happening pre-earthquake; however the Christchurch earthquake has significantly shaped these processes through changing the development environment, resulting in many more opportunities for development than otherwise possible. Likewise, the ‘blank canvas’ approach was only possible because of the earthquakes.</w:t>
      </w:r>
    </w:p>
    <w:p w:rsidR="009E0C89" w:rsidRPr="00294432" w:rsidRDefault="009E0C89" w:rsidP="001F23F2">
      <w:pPr>
        <w:pStyle w:val="BodyText"/>
        <w:rPr>
          <w:bCs/>
          <w:iCs/>
          <w:caps/>
          <w:color w:val="0076C0"/>
          <w:szCs w:val="20"/>
        </w:rPr>
      </w:pPr>
      <w:r w:rsidRPr="00294432">
        <w:rPr>
          <w:color w:val="0076C0"/>
          <w:szCs w:val="20"/>
        </w:rPr>
        <w:br w:type="page"/>
      </w:r>
    </w:p>
    <w:p w:rsidR="009E0C89" w:rsidRPr="004D417E" w:rsidRDefault="009E0C89" w:rsidP="001F23F2">
      <w:pPr>
        <w:pStyle w:val="Heading1"/>
        <w:numPr>
          <w:ilvl w:val="0"/>
          <w:numId w:val="29"/>
        </w:numPr>
      </w:pPr>
      <w:bookmarkStart w:id="40" w:name="_Toc449023517"/>
      <w:bookmarkStart w:id="41" w:name="_Toc449040544"/>
      <w:bookmarkStart w:id="42" w:name="_Toc449041605"/>
      <w:bookmarkStart w:id="43" w:name="_Toc450660786"/>
      <w:bookmarkStart w:id="44" w:name="_Toc449023519"/>
      <w:bookmarkStart w:id="45" w:name="_Toc449040546"/>
      <w:bookmarkStart w:id="46" w:name="_Toc449041607"/>
      <w:bookmarkStart w:id="47" w:name="_Toc450660788"/>
      <w:bookmarkStart w:id="48" w:name="_Toc450660789"/>
      <w:bookmarkStart w:id="49" w:name="_Toc451436464"/>
      <w:bookmarkStart w:id="50" w:name="_Toc455071986"/>
      <w:bookmarkStart w:id="51" w:name="_Toc455410521"/>
      <w:bookmarkEnd w:id="40"/>
      <w:bookmarkEnd w:id="41"/>
      <w:bookmarkEnd w:id="42"/>
      <w:bookmarkEnd w:id="43"/>
      <w:bookmarkEnd w:id="44"/>
      <w:bookmarkEnd w:id="45"/>
      <w:bookmarkEnd w:id="46"/>
      <w:bookmarkEnd w:id="47"/>
      <w:r w:rsidRPr="004D417E">
        <w:t>Residential development capacity analysis</w:t>
      </w:r>
      <w:bookmarkEnd w:id="48"/>
      <w:bookmarkEnd w:id="49"/>
      <w:bookmarkEnd w:id="50"/>
      <w:bookmarkEnd w:id="51"/>
    </w:p>
    <w:p w:rsidR="009E0C89" w:rsidRPr="00476B33" w:rsidRDefault="001F23F2" w:rsidP="003A4A32">
      <w:pPr>
        <w:pStyle w:val="Heading2"/>
        <w:spacing w:before="0"/>
      </w:pPr>
      <w:bookmarkStart w:id="52" w:name="_Toc455071987"/>
      <w:bookmarkStart w:id="53" w:name="_Toc455410522"/>
      <w:r>
        <w:t>6.1</w:t>
      </w:r>
      <w:r>
        <w:tab/>
      </w:r>
      <w:r w:rsidR="009E0C89">
        <w:t>Outputs</w:t>
      </w:r>
      <w:bookmarkEnd w:id="52"/>
      <w:bookmarkEnd w:id="53"/>
    </w:p>
    <w:p w:rsidR="009E0C89" w:rsidRDefault="009E0C89" w:rsidP="002D3926">
      <w:pPr>
        <w:pStyle w:val="BodyText"/>
      </w:pPr>
      <w:r>
        <w:t>All councils surveyed produce estimates of the residential development capacity in their local areas. They express capacity in hectares of available land, the number of dwellings that could be supplied, and/or the number of years of demand for housing that could be met. Councils often distinguish between capa</w:t>
      </w:r>
      <w:r w:rsidR="00AF084F">
        <w:t>city that is ‘ready to go’ (</w:t>
      </w:r>
      <w:proofErr w:type="spellStart"/>
      <w:r w:rsidR="00AF084F">
        <w:t>ie</w:t>
      </w:r>
      <w:proofErr w:type="spellEnd"/>
      <w:r>
        <w:t xml:space="preserve">, zoned for development and serviced with infrastructure) and zoned, </w:t>
      </w:r>
      <w:proofErr w:type="spellStart"/>
      <w:r>
        <w:t>unserviced</w:t>
      </w:r>
      <w:proofErr w:type="spellEnd"/>
      <w:r>
        <w:t xml:space="preserve"> capacity. </w:t>
      </w:r>
    </w:p>
    <w:p w:rsidR="009E0C89" w:rsidRPr="005E2F67" w:rsidRDefault="009E0C89" w:rsidP="002D3926">
      <w:pPr>
        <w:pStyle w:val="BodyText"/>
      </w:pPr>
      <w:r>
        <w:t>Estimates of development c</w:t>
      </w:r>
      <w:r w:rsidRPr="00476B33">
        <w:t xml:space="preserve">apacity are </w:t>
      </w:r>
      <w:r>
        <w:t xml:space="preserve">made </w:t>
      </w:r>
      <w:r w:rsidRPr="00476B33">
        <w:t>to test whe</w:t>
      </w:r>
      <w:r>
        <w:t>ther projected demand can be acc</w:t>
      </w:r>
      <w:r w:rsidRPr="00476B33">
        <w:t>om</w:t>
      </w:r>
      <w:r>
        <w:t>m</w:t>
      </w:r>
      <w:r w:rsidRPr="00476B33">
        <w:t>odated within infrastructure and resource management plans.</w:t>
      </w:r>
      <w:r>
        <w:t xml:space="preserve"> They enable</w:t>
      </w:r>
      <w:r w:rsidRPr="00476B33">
        <w:t xml:space="preserve"> councils to consider </w:t>
      </w:r>
      <w:r>
        <w:t>whether the proposed response is adequate</w:t>
      </w:r>
      <w:r w:rsidRPr="00476B33">
        <w:t xml:space="preserve">, </w:t>
      </w:r>
      <w:r>
        <w:t>what the constraints are</w:t>
      </w:r>
      <w:r w:rsidRPr="00476B33">
        <w:t xml:space="preserve">, </w:t>
      </w:r>
      <w:r>
        <w:t>what the market’s likely response will be and whether</w:t>
      </w:r>
      <w:r w:rsidRPr="00476B33">
        <w:t xml:space="preserve"> </w:t>
      </w:r>
      <w:r>
        <w:t>anything needs to change</w:t>
      </w:r>
      <w:r w:rsidRPr="00476B33">
        <w:t>.</w:t>
      </w:r>
      <w:r>
        <w:t xml:space="preserve"> U</w:t>
      </w:r>
      <w:r w:rsidRPr="00476B33">
        <w:t xml:space="preserve">p-to-date knowledge of </w:t>
      </w:r>
      <w:r>
        <w:t>available development capacity</w:t>
      </w:r>
      <w:r w:rsidRPr="00476B33">
        <w:t xml:space="preserve"> is </w:t>
      </w:r>
      <w:r>
        <w:t>important</w:t>
      </w:r>
      <w:r w:rsidRPr="00476B33">
        <w:t xml:space="preserve"> for sound decision-making.</w:t>
      </w:r>
    </w:p>
    <w:p w:rsidR="009E0C89" w:rsidRPr="00476B33" w:rsidRDefault="009E0C89" w:rsidP="002D3926">
      <w:pPr>
        <w:pStyle w:val="BodyText"/>
      </w:pPr>
      <w:r w:rsidRPr="00476B33">
        <w:t xml:space="preserve">The starting point </w:t>
      </w:r>
      <w:r>
        <w:t xml:space="preserve">for most </w:t>
      </w:r>
      <w:proofErr w:type="gramStart"/>
      <w:r>
        <w:t>councils</w:t>
      </w:r>
      <w:proofErr w:type="gramEnd"/>
      <w:r>
        <w:t xml:space="preserve"> surveyed is </w:t>
      </w:r>
      <w:r w:rsidRPr="00476B33">
        <w:t>theoretical</w:t>
      </w:r>
      <w:r>
        <w:t xml:space="preserve"> </w:t>
      </w:r>
      <w:r w:rsidRPr="00476B33">
        <w:t xml:space="preserve">plan-enabled </w:t>
      </w:r>
      <w:r>
        <w:t xml:space="preserve">development </w:t>
      </w:r>
      <w:r w:rsidRPr="00476B33">
        <w:t>capacity</w:t>
      </w:r>
      <w:r>
        <w:t>,</w:t>
      </w:r>
      <w:r w:rsidRPr="00476B33">
        <w:t xml:space="preserve"> with limited checks on </w:t>
      </w:r>
      <w:r>
        <w:t xml:space="preserve">the </w:t>
      </w:r>
      <w:r w:rsidRPr="00476B33">
        <w:t xml:space="preserve">commercial </w:t>
      </w:r>
      <w:r>
        <w:t>feasibility of development capacity</w:t>
      </w:r>
      <w:r w:rsidRPr="00476B33">
        <w:t>.</w:t>
      </w:r>
      <w:r>
        <w:t xml:space="preserve"> Most </w:t>
      </w:r>
      <w:proofErr w:type="gramStart"/>
      <w:r>
        <w:t>councils</w:t>
      </w:r>
      <w:proofErr w:type="gramEnd"/>
      <w:r w:rsidRPr="00476B33">
        <w:t xml:space="preserve"> also </w:t>
      </w:r>
      <w:r>
        <w:t xml:space="preserve">focus </w:t>
      </w:r>
      <w:r w:rsidRPr="00476B33">
        <w:t xml:space="preserve">on </w:t>
      </w:r>
      <w:r>
        <w:t xml:space="preserve">the </w:t>
      </w:r>
      <w:r w:rsidRPr="00476B33">
        <w:t xml:space="preserve">capacity for greenfield </w:t>
      </w:r>
      <w:r>
        <w:t xml:space="preserve">areas to accommodate new </w:t>
      </w:r>
      <w:r w:rsidRPr="00476B33">
        <w:t>development</w:t>
      </w:r>
      <w:r>
        <w:t xml:space="preserve"> and</w:t>
      </w:r>
      <w:r w:rsidRPr="00476B33">
        <w:t xml:space="preserve"> where new infrastructure would </w:t>
      </w:r>
      <w:r>
        <w:t xml:space="preserve">most </w:t>
      </w:r>
      <w:r w:rsidRPr="00476B33">
        <w:t>be required</w:t>
      </w:r>
      <w:r>
        <w:t>.</w:t>
      </w:r>
      <w:r w:rsidRPr="00476B33">
        <w:t xml:space="preserve"> </w:t>
      </w:r>
      <w:r>
        <w:t>Currently, the</w:t>
      </w:r>
      <w:r w:rsidRPr="00476B33">
        <w:t xml:space="preserve"> capacity for redevelopment in </w:t>
      </w:r>
      <w:r>
        <w:t>existing urban</w:t>
      </w:r>
      <w:r w:rsidRPr="00476B33">
        <w:t xml:space="preserve"> areas</w:t>
      </w:r>
      <w:r>
        <w:t xml:space="preserve"> is</w:t>
      </w:r>
      <w:r w:rsidRPr="00294432">
        <w:rPr>
          <w:sz w:val="18"/>
        </w:rPr>
        <w:t xml:space="preserve"> </w:t>
      </w:r>
      <w:r w:rsidRPr="00476B33">
        <w:t xml:space="preserve">assessed at a detailed level by </w:t>
      </w:r>
      <w:r>
        <w:t xml:space="preserve">Auckland, Wellington City, Christchurch City and Queenstown-Lakes District. </w:t>
      </w:r>
      <w:r w:rsidRPr="00476B33">
        <w:t xml:space="preserve">Other councils </w:t>
      </w:r>
      <w:r>
        <w:t xml:space="preserve">surveyed </w:t>
      </w:r>
      <w:r w:rsidRPr="00476B33">
        <w:t xml:space="preserve">have only recently </w:t>
      </w:r>
      <w:r>
        <w:t xml:space="preserve">embarked on this and their </w:t>
      </w:r>
      <w:r w:rsidRPr="00476B33">
        <w:t xml:space="preserve">processes are evolving. </w:t>
      </w:r>
    </w:p>
    <w:p w:rsidR="009E0C89" w:rsidRPr="00D25FDD" w:rsidRDefault="004C2A5A" w:rsidP="003A4A32">
      <w:pPr>
        <w:pStyle w:val="Heading2"/>
      </w:pPr>
      <w:bookmarkStart w:id="54" w:name="_Toc455071988"/>
      <w:bookmarkStart w:id="55" w:name="_Toc455410523"/>
      <w:bookmarkStart w:id="56" w:name="_Toc450660791"/>
      <w:bookmarkStart w:id="57" w:name="_Toc451436466"/>
      <w:r>
        <w:t>6.2</w:t>
      </w:r>
      <w:r>
        <w:tab/>
      </w:r>
      <w:r w:rsidR="009E0C89">
        <w:t>Residential development capacity methodology flowchart</w:t>
      </w:r>
      <w:bookmarkEnd w:id="54"/>
      <w:bookmarkEnd w:id="55"/>
    </w:p>
    <w:p w:rsidR="009E0C89" w:rsidRDefault="009E0C89" w:rsidP="004C2A5A">
      <w:pPr>
        <w:pStyle w:val="BodyText"/>
      </w:pPr>
      <w:r w:rsidRPr="00AF172E">
        <w:t>The following flow chart sets out the steps in a comprehensive process for assessing residential capacity</w:t>
      </w:r>
      <w:r>
        <w:t>.</w:t>
      </w:r>
      <w:r w:rsidRPr="00AF172E">
        <w:t xml:space="preserve"> </w:t>
      </w:r>
      <w:r>
        <w:t>M</w:t>
      </w:r>
      <w:r w:rsidRPr="00AF172E">
        <w:t xml:space="preserve">ost of the </w:t>
      </w:r>
      <w:r>
        <w:t>councils</w:t>
      </w:r>
      <w:r w:rsidRPr="00AF172E">
        <w:t xml:space="preserve"> in this study undertake only some of these steps.</w:t>
      </w:r>
    </w:p>
    <w:p w:rsidR="009E0C89" w:rsidRPr="00D25FDD" w:rsidRDefault="009E0C89" w:rsidP="004C2A5A">
      <w:pPr>
        <w:pStyle w:val="BodyText"/>
      </w:pPr>
    </w:p>
    <w:p w:rsidR="009E0C89" w:rsidRPr="00294432" w:rsidRDefault="009E0C89" w:rsidP="009E0C89">
      <w:pPr>
        <w:rPr>
          <w:rFonts w:ascii="Arial" w:hAnsi="Arial" w:cs="Arial"/>
          <w:color w:val="000000" w:themeColor="text1"/>
          <w:sz w:val="18"/>
          <w:szCs w:val="21"/>
        </w:rPr>
      </w:pPr>
      <w:r w:rsidRPr="00294432">
        <w:rPr>
          <w:rFonts w:ascii="Arial" w:hAnsi="Arial" w:cs="Arial"/>
          <w:color w:val="000000" w:themeColor="text1"/>
          <w:sz w:val="18"/>
        </w:rPr>
        <w:br w:type="page"/>
      </w:r>
    </w:p>
    <w:p w:rsidR="004C2A5A" w:rsidRDefault="004C2A5A" w:rsidP="004C2A5A">
      <w:pPr>
        <w:pStyle w:val="Figureheading"/>
        <w:rPr>
          <w:rFonts w:eastAsia="SimSun"/>
        </w:rPr>
      </w:pPr>
      <w:bookmarkStart w:id="58" w:name="_Toc455071989"/>
      <w:r>
        <w:rPr>
          <w:rFonts w:eastAsia="SimSun"/>
        </w:rPr>
        <w:t>Figure 3: Residential capacity supply methodology</w:t>
      </w:r>
      <w:bookmarkEnd w:id="58"/>
    </w:p>
    <w:p w:rsidR="009E0C89" w:rsidRPr="00294432" w:rsidRDefault="009E0C89" w:rsidP="009E0C89">
      <w:pPr>
        <w:rPr>
          <w:rFonts w:ascii="Arial" w:hAnsi="Arial" w:cs="Arial"/>
          <w:color w:val="000000" w:themeColor="text1"/>
          <w:sz w:val="18"/>
        </w:rPr>
      </w:pPr>
    </w:p>
    <w:p w:rsidR="009E0C89" w:rsidRPr="00294432" w:rsidRDefault="009E0C89" w:rsidP="009E0C89">
      <w:pPr>
        <w:rPr>
          <w:rFonts w:ascii="Arial" w:hAnsi="Arial" w:cs="Arial"/>
          <w:color w:val="000000" w:themeColor="text1"/>
          <w:sz w:val="18"/>
        </w:rPr>
      </w:pPr>
    </w:p>
    <w:p w:rsidR="009E0C89" w:rsidRPr="00294432" w:rsidRDefault="009E0C89" w:rsidP="009E0C89">
      <w:pPr>
        <w:rPr>
          <w:rFonts w:ascii="Arial" w:hAnsi="Arial" w:cs="Arial"/>
          <w:color w:val="000000" w:themeColor="text1"/>
          <w:sz w:val="18"/>
        </w:rPr>
      </w:pPr>
    </w:p>
    <w:p w:rsidR="009E0C89" w:rsidRPr="00294432" w:rsidRDefault="009E0C89" w:rsidP="009E0C89">
      <w:pPr>
        <w:rPr>
          <w:rFonts w:ascii="Arial" w:hAnsi="Arial" w:cs="Arial"/>
          <w:color w:val="000000" w:themeColor="text1"/>
          <w:sz w:val="18"/>
        </w:rPr>
      </w:pPr>
    </w:p>
    <w:p w:rsidR="009E0C89" w:rsidRPr="00294432" w:rsidRDefault="009E0C89" w:rsidP="009E0C89">
      <w:pPr>
        <w:rPr>
          <w:rFonts w:ascii="Arial" w:hAnsi="Arial" w:cs="Arial"/>
          <w:color w:val="000000" w:themeColor="text1"/>
          <w:sz w:val="18"/>
        </w:rPr>
      </w:pPr>
    </w:p>
    <w:p w:rsidR="009E0C89" w:rsidRPr="00294432" w:rsidRDefault="009E0C89" w:rsidP="009E0C89">
      <w:pPr>
        <w:rPr>
          <w:rFonts w:ascii="Arial" w:hAnsi="Arial" w:cs="Arial"/>
          <w:color w:val="000000" w:themeColor="text1"/>
          <w:sz w:val="18"/>
        </w:rPr>
      </w:pPr>
    </w:p>
    <w:p w:rsidR="009E0C89" w:rsidRPr="00294432" w:rsidRDefault="009E0C89" w:rsidP="009E0C89">
      <w:pPr>
        <w:rPr>
          <w:rFonts w:ascii="Arial" w:hAnsi="Arial" w:cs="Arial"/>
          <w:color w:val="000000" w:themeColor="text1"/>
          <w:sz w:val="18"/>
          <w:szCs w:val="21"/>
        </w:rPr>
      </w:pPr>
      <w:r w:rsidRPr="00476B33">
        <w:rPr>
          <w:rFonts w:ascii="Arial" w:hAnsi="Arial" w:cs="Arial"/>
          <w:noProof/>
        </w:rPr>
        <w:drawing>
          <wp:anchor distT="0" distB="0" distL="114300" distR="114300" simplePos="0" relativeHeight="251661312" behindDoc="1" locked="0" layoutInCell="1" allowOverlap="1" wp14:anchorId="74D39972" wp14:editId="74B2A080">
            <wp:simplePos x="0" y="0"/>
            <wp:positionH relativeFrom="column">
              <wp:posOffset>-33706</wp:posOffset>
            </wp:positionH>
            <wp:positionV relativeFrom="paragraph">
              <wp:posOffset>-1953413</wp:posOffset>
            </wp:positionV>
            <wp:extent cx="5319031" cy="7600493"/>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319031" cy="7600493"/>
                    </a:xfrm>
                    <a:prstGeom prst="rect">
                      <a:avLst/>
                    </a:prstGeom>
                  </pic:spPr>
                </pic:pic>
              </a:graphicData>
            </a:graphic>
            <wp14:sizeRelH relativeFrom="page">
              <wp14:pctWidth>0</wp14:pctWidth>
            </wp14:sizeRelH>
            <wp14:sizeRelV relativeFrom="page">
              <wp14:pctHeight>0</wp14:pctHeight>
            </wp14:sizeRelV>
          </wp:anchor>
        </w:drawing>
      </w:r>
      <w:r w:rsidRPr="00294432">
        <w:rPr>
          <w:rFonts w:ascii="Arial" w:hAnsi="Arial" w:cs="Arial"/>
          <w:color w:val="000000" w:themeColor="text1"/>
          <w:sz w:val="18"/>
        </w:rPr>
        <w:br w:type="page"/>
      </w:r>
    </w:p>
    <w:p w:rsidR="009E0C89" w:rsidRPr="00476B33" w:rsidRDefault="007A2E1D" w:rsidP="007A2E1D">
      <w:pPr>
        <w:pStyle w:val="Heading2"/>
      </w:pPr>
      <w:bookmarkStart w:id="59" w:name="_Toc455071990"/>
      <w:bookmarkStart w:id="60" w:name="_Toc455410524"/>
      <w:r>
        <w:t>6.3</w:t>
      </w:r>
      <w:r>
        <w:tab/>
      </w:r>
      <w:r w:rsidR="009E0C89" w:rsidRPr="007A2E1D">
        <w:t xml:space="preserve">Estimating capacity for </w:t>
      </w:r>
      <w:proofErr w:type="gramStart"/>
      <w:r w:rsidR="009E0C89" w:rsidRPr="007A2E1D">
        <w:t>greenfield</w:t>
      </w:r>
      <w:proofErr w:type="gramEnd"/>
      <w:r w:rsidR="009E0C89" w:rsidRPr="007A2E1D">
        <w:t xml:space="preserve"> development</w:t>
      </w:r>
      <w:bookmarkEnd w:id="56"/>
      <w:bookmarkEnd w:id="57"/>
      <w:bookmarkEnd w:id="59"/>
      <w:bookmarkEnd w:id="60"/>
    </w:p>
    <w:p w:rsidR="009E0C89" w:rsidRPr="00476B33" w:rsidRDefault="009E0C89" w:rsidP="004C2A5A">
      <w:pPr>
        <w:pStyle w:val="BodyText"/>
      </w:pPr>
      <w:r>
        <w:t xml:space="preserve">Different </w:t>
      </w:r>
      <w:r w:rsidRPr="00476B33">
        <w:t xml:space="preserve">processes </w:t>
      </w:r>
      <w:r>
        <w:t xml:space="preserve">are used </w:t>
      </w:r>
      <w:r w:rsidRPr="00476B33">
        <w:t xml:space="preserve">for assessing </w:t>
      </w:r>
      <w:proofErr w:type="gramStart"/>
      <w:r w:rsidRPr="00476B33">
        <w:t>greenfield</w:t>
      </w:r>
      <w:proofErr w:type="gramEnd"/>
      <w:r w:rsidRPr="00476B33">
        <w:t xml:space="preserve"> and </w:t>
      </w:r>
      <w:r>
        <w:t xml:space="preserve">development </w:t>
      </w:r>
      <w:r w:rsidRPr="00476B33">
        <w:t>capacity</w:t>
      </w:r>
      <w:r>
        <w:t xml:space="preserve"> in existing urban areas</w:t>
      </w:r>
      <w:r w:rsidRPr="00476B33">
        <w:t>.</w:t>
      </w:r>
      <w:r>
        <w:t xml:space="preserve"> Greenfield development capacity is commonly estimated using the following steps: </w:t>
      </w:r>
    </w:p>
    <w:p w:rsidR="009E0C89" w:rsidRPr="00476B33" w:rsidRDefault="009E0C89" w:rsidP="004C2A5A">
      <w:pPr>
        <w:pStyle w:val="Bullet"/>
      </w:pPr>
      <w:r w:rsidRPr="00476B33">
        <w:t xml:space="preserve">Remove </w:t>
      </w:r>
      <w:r>
        <w:t>land zoned for</w:t>
      </w:r>
      <w:r w:rsidRPr="00476B33">
        <w:t xml:space="preserve"> roads (and road reserve), parks, water management systems </w:t>
      </w:r>
      <w:r w:rsidR="009F237A">
        <w:br/>
      </w:r>
      <w:r w:rsidRPr="00476B33">
        <w:t>(</w:t>
      </w:r>
      <w:proofErr w:type="spellStart"/>
      <w:r w:rsidRPr="00476B33">
        <w:t>i</w:t>
      </w:r>
      <w:r w:rsidR="009F237A">
        <w:t>e</w:t>
      </w:r>
      <w:proofErr w:type="spellEnd"/>
      <w:r w:rsidR="009F237A">
        <w:t>,</w:t>
      </w:r>
      <w:r w:rsidRPr="00476B33">
        <w:t xml:space="preserve"> ponds), flood areas and small sites unsuitable for development.</w:t>
      </w:r>
      <w:r>
        <w:t xml:space="preserve"> </w:t>
      </w:r>
    </w:p>
    <w:p w:rsidR="009E0C89" w:rsidRPr="00476B33" w:rsidRDefault="009E0C89" w:rsidP="004C2A5A">
      <w:pPr>
        <w:pStyle w:val="Bullet"/>
      </w:pPr>
      <w:r w:rsidRPr="00476B33">
        <w:t>Multiply the remaining land area by an average residential density for the zone or, if a specific development proposal is planned, then apply those dwelling yields</w:t>
      </w:r>
      <w:r>
        <w:rPr>
          <w:rStyle w:val="FootnoteReference"/>
          <w:rFonts w:ascii="Arial" w:hAnsi="Arial" w:cs="Arial"/>
          <w:color w:val="000000" w:themeColor="text1"/>
          <w:szCs w:val="22"/>
        </w:rPr>
        <w:footnoteReference w:id="8"/>
      </w:r>
      <w:r w:rsidRPr="00476B33">
        <w:t>.</w:t>
      </w:r>
      <w:r>
        <w:t xml:space="preserve"> </w:t>
      </w:r>
    </w:p>
    <w:p w:rsidR="009E0C89" w:rsidRPr="00476B33" w:rsidRDefault="009E0C89" w:rsidP="004C2A5A">
      <w:pPr>
        <w:pStyle w:val="Bullet"/>
      </w:pPr>
      <w:r w:rsidRPr="00476B33">
        <w:t xml:space="preserve">Remove any known consented land parcels to </w:t>
      </w:r>
      <w:r>
        <w:t>obtain</w:t>
      </w:r>
      <w:r w:rsidRPr="00476B33">
        <w:t xml:space="preserve"> remaining </w:t>
      </w:r>
      <w:r>
        <w:t xml:space="preserve">development </w:t>
      </w:r>
      <w:r w:rsidRPr="00476B33">
        <w:t>capacity.</w:t>
      </w:r>
    </w:p>
    <w:p w:rsidR="009E0C89" w:rsidRPr="00476B33" w:rsidRDefault="009E0C89" w:rsidP="004C2A5A">
      <w:pPr>
        <w:pStyle w:val="Bullet"/>
      </w:pPr>
      <w:r>
        <w:t>Separate into areas of serviced capacity and areas that are not serviced with infrastructure</w:t>
      </w:r>
      <w:r w:rsidRPr="00476B33">
        <w:t>.</w:t>
      </w:r>
    </w:p>
    <w:p w:rsidR="009E0C89" w:rsidRPr="00AF172E" w:rsidRDefault="004C2A5A" w:rsidP="003A4A32">
      <w:pPr>
        <w:pStyle w:val="Heading2"/>
      </w:pPr>
      <w:bookmarkStart w:id="61" w:name="_Toc455071991"/>
      <w:bookmarkStart w:id="62" w:name="_Toc455410525"/>
      <w:r>
        <w:t>6.</w:t>
      </w:r>
      <w:r w:rsidR="007A2E1D">
        <w:t>4</w:t>
      </w:r>
      <w:r>
        <w:tab/>
      </w:r>
      <w:r w:rsidR="009E0C89">
        <w:t>Estimating c</w:t>
      </w:r>
      <w:r w:rsidR="009E0C89" w:rsidRPr="00AF172E">
        <w:t xml:space="preserve">apacity for </w:t>
      </w:r>
      <w:r w:rsidR="009E0C89">
        <w:t>infill or re</w:t>
      </w:r>
      <w:r w:rsidR="009E0C89" w:rsidRPr="00AF172E">
        <w:t>development</w:t>
      </w:r>
      <w:r w:rsidR="009E0C89">
        <w:t xml:space="preserve"> in existing urban areas</w:t>
      </w:r>
      <w:bookmarkEnd w:id="61"/>
      <w:bookmarkEnd w:id="62"/>
    </w:p>
    <w:p w:rsidR="009E0C89" w:rsidRPr="00476B33" w:rsidRDefault="009E0C89" w:rsidP="004C2A5A">
      <w:pPr>
        <w:pStyle w:val="BodyText"/>
      </w:pPr>
      <w:r>
        <w:t xml:space="preserve">Methods to estimate development </w:t>
      </w:r>
      <w:r w:rsidRPr="00476B33">
        <w:t xml:space="preserve">capacity </w:t>
      </w:r>
      <w:r>
        <w:t>in existing urban areas commonly include some or all of the following steps:</w:t>
      </w:r>
      <w:r w:rsidRPr="00476B33">
        <w:t xml:space="preserve"> </w:t>
      </w:r>
    </w:p>
    <w:p w:rsidR="009E0C89" w:rsidRDefault="009E0C89" w:rsidP="004C2A5A">
      <w:pPr>
        <w:pStyle w:val="Bullet"/>
      </w:pPr>
      <w:r>
        <w:t xml:space="preserve">Undertake a stocktake of existing urban development patterns evident in </w:t>
      </w:r>
      <w:r w:rsidRPr="00476B33">
        <w:t>property boundaries and data (typically GIS-based</w:t>
      </w:r>
      <w:r>
        <w:t>,</w:t>
      </w:r>
      <w:r w:rsidRPr="00476B33">
        <w:t xml:space="preserve"> with maps and spreadsheet analysis</w:t>
      </w:r>
      <w:r>
        <w:t xml:space="preserve"> taken from the council rating base</w:t>
      </w:r>
      <w:r w:rsidRPr="00476B33">
        <w:t xml:space="preserve">). </w:t>
      </w:r>
    </w:p>
    <w:p w:rsidR="009E0C89" w:rsidRDefault="009E0C89" w:rsidP="004C2A5A">
      <w:pPr>
        <w:pStyle w:val="Bullet"/>
      </w:pPr>
      <w:r w:rsidRPr="00476B33">
        <w:t>Assess</w:t>
      </w:r>
      <w:r>
        <w:t xml:space="preserve"> the</w:t>
      </w:r>
      <w:r w:rsidRPr="00476B33">
        <w:t xml:space="preserve"> </w:t>
      </w:r>
      <w:r>
        <w:t xml:space="preserve">potential for redevelopment. This typically involves investigating </w:t>
      </w:r>
      <w:r w:rsidRPr="00476B33">
        <w:t>land value to capital value ratios, with the higher the ratio the higher the propensity for redevelopment to occur.</w:t>
      </w:r>
      <w:r>
        <w:t xml:space="preserve"> </w:t>
      </w:r>
      <w:r w:rsidRPr="00476B33">
        <w:t>Recently developed sites would be removed during this phase</w:t>
      </w:r>
      <w:r>
        <w:t xml:space="preserve"> on that assumption</w:t>
      </w:r>
      <w:r w:rsidRPr="00476B33">
        <w:t xml:space="preserve"> </w:t>
      </w:r>
      <w:r>
        <w:t xml:space="preserve">that </w:t>
      </w:r>
      <w:r w:rsidRPr="00476B33">
        <w:t>these sites have too much capital invested in them to be redeveloped within the next 20 years.</w:t>
      </w:r>
      <w:r>
        <w:t xml:space="preserve"> </w:t>
      </w:r>
    </w:p>
    <w:p w:rsidR="009E0C89" w:rsidRPr="00476B33" w:rsidRDefault="009E0C89" w:rsidP="004C2A5A">
      <w:pPr>
        <w:pStyle w:val="Bullet"/>
      </w:pPr>
      <w:r>
        <w:t xml:space="preserve">Assess the capacity of existing infrastructure networks and services to accommodate further urban development. For some types of infrastructure (in particular transport), whether an area has available capacity is often more complex than a simple ‘yes or no’. </w:t>
      </w:r>
    </w:p>
    <w:p w:rsidR="009E0C89" w:rsidRPr="00476B33" w:rsidRDefault="009E0C89" w:rsidP="004C2A5A">
      <w:pPr>
        <w:pStyle w:val="Bullet"/>
      </w:pPr>
      <w:r w:rsidRPr="00476B33">
        <w:t xml:space="preserve">Remove </w:t>
      </w:r>
      <w:r>
        <w:t xml:space="preserve">physically </w:t>
      </w:r>
      <w:r w:rsidRPr="00476B33">
        <w:t xml:space="preserve">undevelopable land parcels </w:t>
      </w:r>
      <w:proofErr w:type="spellStart"/>
      <w:r w:rsidRPr="00476B33">
        <w:t>e</w:t>
      </w:r>
      <w:r w:rsidR="00AF084F">
        <w:t>g</w:t>
      </w:r>
      <w:proofErr w:type="spellEnd"/>
      <w:r w:rsidR="00AF084F">
        <w:t>,</w:t>
      </w:r>
      <w:r w:rsidRPr="00476B33">
        <w:t xml:space="preserve"> steep gullies, land with geotechnical issues, flood areas.</w:t>
      </w:r>
    </w:p>
    <w:p w:rsidR="009E0C89" w:rsidRPr="00532F2C" w:rsidRDefault="009E0C89" w:rsidP="004C2A5A">
      <w:pPr>
        <w:pStyle w:val="Bullet"/>
        <w:rPr>
          <w:color w:val="000000" w:themeColor="text1"/>
        </w:rPr>
      </w:pPr>
      <w:r w:rsidRPr="00476B33">
        <w:t xml:space="preserve">Apply a discount factor </w:t>
      </w:r>
      <w:r>
        <w:t xml:space="preserve">to account for the fact that only a proportion of plan-enabled opportunities will be taken up. Some </w:t>
      </w:r>
      <w:proofErr w:type="gramStart"/>
      <w:r>
        <w:t>councils</w:t>
      </w:r>
      <w:proofErr w:type="gramEnd"/>
      <w:r>
        <w:t xml:space="preserve"> do not apply any discount rate, while others have only recently begun to, and use a range of rates based on a best guess rather than </w:t>
      </w:r>
      <w:r w:rsidRPr="00476B33">
        <w:t>research or monitoring</w:t>
      </w:r>
      <w:r>
        <w:rPr>
          <w:rStyle w:val="FootnoteReference"/>
          <w:rFonts w:ascii="Arial" w:hAnsi="Arial" w:cs="Arial"/>
          <w:szCs w:val="22"/>
        </w:rPr>
        <w:footnoteReference w:id="9"/>
      </w:r>
      <w:r w:rsidRPr="00476B33">
        <w:t xml:space="preserve">. </w:t>
      </w:r>
    </w:p>
    <w:p w:rsidR="009E0C89" w:rsidRPr="00476B33" w:rsidRDefault="009E0C89" w:rsidP="004C2A5A">
      <w:pPr>
        <w:pStyle w:val="Bullet"/>
      </w:pPr>
      <w:r w:rsidRPr="00476B33">
        <w:t>Overlay existing zones and density allowances within each zone.</w:t>
      </w:r>
    </w:p>
    <w:p w:rsidR="009E0C89" w:rsidRDefault="009E0C89" w:rsidP="004C2A5A">
      <w:pPr>
        <w:pStyle w:val="BodyText"/>
      </w:pPr>
      <w:r w:rsidRPr="00476B33">
        <w:t xml:space="preserve">Auckland </w:t>
      </w:r>
      <w:r>
        <w:t xml:space="preserve">Council, Christchurch City Council </w:t>
      </w:r>
      <w:r w:rsidRPr="00476B33">
        <w:t>and Queenstown</w:t>
      </w:r>
      <w:r>
        <w:t xml:space="preserve">-Lakes </w:t>
      </w:r>
      <w:r w:rsidRPr="00476B33">
        <w:t>ha</w:t>
      </w:r>
      <w:r>
        <w:t>ve</w:t>
      </w:r>
      <w:r w:rsidRPr="00476B33">
        <w:t xml:space="preserve"> assessed brownfield capacity at a more detailed level. </w:t>
      </w:r>
      <w:r>
        <w:t>The r</w:t>
      </w:r>
      <w:r w:rsidRPr="00476B33">
        <w:t xml:space="preserve">easons for this include: </w:t>
      </w:r>
    </w:p>
    <w:p w:rsidR="009E0C89" w:rsidRDefault="009E0C89" w:rsidP="004C2A5A">
      <w:pPr>
        <w:pStyle w:val="Bullet"/>
      </w:pPr>
      <w:r w:rsidRPr="00476B33">
        <w:t xml:space="preserve">a response to land shortages </w:t>
      </w:r>
    </w:p>
    <w:p w:rsidR="009E0C89" w:rsidRDefault="009E0C89" w:rsidP="004C2A5A">
      <w:pPr>
        <w:pStyle w:val="Bullet"/>
      </w:pPr>
      <w:r>
        <w:t xml:space="preserve">the </w:t>
      </w:r>
      <w:r w:rsidRPr="00476B33">
        <w:t>scale of growth</w:t>
      </w:r>
    </w:p>
    <w:p w:rsidR="009E0C89" w:rsidRDefault="009E0C89" w:rsidP="004C2A5A">
      <w:pPr>
        <w:pStyle w:val="Bullet"/>
      </w:pPr>
      <w:r w:rsidRPr="00476B33">
        <w:t xml:space="preserve">pressures from </w:t>
      </w:r>
      <w:r>
        <w:t xml:space="preserve">the range of </w:t>
      </w:r>
      <w:r w:rsidRPr="00476B33">
        <w:t>land use</w:t>
      </w:r>
      <w:r>
        <w:t>s</w:t>
      </w:r>
    </w:p>
    <w:p w:rsidR="009E0C89" w:rsidRPr="00476B33" w:rsidRDefault="009E0C89" w:rsidP="004C2A5A">
      <w:pPr>
        <w:pStyle w:val="Bullet"/>
      </w:pPr>
      <w:proofErr w:type="gramStart"/>
      <w:r>
        <w:t>a</w:t>
      </w:r>
      <w:proofErr w:type="gramEnd"/>
      <w:r w:rsidRPr="00476B33">
        <w:t xml:space="preserve"> desire to protect certain areas (</w:t>
      </w:r>
      <w:proofErr w:type="spellStart"/>
      <w:r w:rsidRPr="00476B33">
        <w:t>e</w:t>
      </w:r>
      <w:r w:rsidR="009F237A">
        <w:t>g</w:t>
      </w:r>
      <w:proofErr w:type="spellEnd"/>
      <w:r w:rsidR="009F237A">
        <w:t>,</w:t>
      </w:r>
      <w:r w:rsidRPr="00476B33">
        <w:t xml:space="preserve"> for landscape value</w:t>
      </w:r>
      <w:r>
        <w:t>,</w:t>
      </w:r>
      <w:r w:rsidRPr="00476B33">
        <w:t xml:space="preserve"> or to achieve </w:t>
      </w:r>
      <w:r>
        <w:t>the council’s policy intent around urban form</w:t>
      </w:r>
      <w:r w:rsidRPr="00476B33">
        <w:t>).</w:t>
      </w:r>
      <w:r>
        <w:t xml:space="preserve"> </w:t>
      </w:r>
    </w:p>
    <w:p w:rsidR="009E0C89" w:rsidRPr="00476B33" w:rsidRDefault="009E0C89" w:rsidP="004C2A5A">
      <w:pPr>
        <w:pStyle w:val="BodyText"/>
        <w:rPr>
          <w:color w:val="000000" w:themeColor="text1"/>
        </w:rPr>
      </w:pPr>
      <w:r w:rsidRPr="00476B33">
        <w:t>Queenstown</w:t>
      </w:r>
      <w:r>
        <w:t xml:space="preserve">-Lakes District </w:t>
      </w:r>
      <w:r w:rsidRPr="00476B33">
        <w:t>assesses</w:t>
      </w:r>
      <w:r>
        <w:t xml:space="preserve"> plan-enabled development capacity; m</w:t>
      </w:r>
      <w:r w:rsidRPr="00476B33">
        <w:t xml:space="preserve">ost </w:t>
      </w:r>
      <w:r>
        <w:t>locations</w:t>
      </w:r>
      <w:r w:rsidRPr="00476B33">
        <w:t xml:space="preserve"> in and around central </w:t>
      </w:r>
      <w:r w:rsidRPr="00C418E9">
        <w:rPr>
          <w:color w:val="000000" w:themeColor="text1"/>
        </w:rPr>
        <w:t>Queenstown</w:t>
      </w:r>
      <w:r w:rsidRPr="00476B33">
        <w:t xml:space="preserve"> </w:t>
      </w:r>
      <w:r>
        <w:t>are</w:t>
      </w:r>
      <w:r w:rsidRPr="00476B33">
        <w:t xml:space="preserve"> assessed </w:t>
      </w:r>
      <w:r>
        <w:t xml:space="preserve">with regard to its </w:t>
      </w:r>
      <w:r w:rsidRPr="00476B33">
        <w:t>potential for apartment development</w:t>
      </w:r>
      <w:r>
        <w:t xml:space="preserve">; height is </w:t>
      </w:r>
      <w:r w:rsidRPr="00476B33">
        <w:t xml:space="preserve">the primary consideration. </w:t>
      </w:r>
      <w:r>
        <w:t>Analysis of the market demand for this</w:t>
      </w:r>
      <w:r w:rsidRPr="00476B33">
        <w:t xml:space="preserve"> </w:t>
      </w:r>
      <w:r>
        <w:t xml:space="preserve">has resulted in </w:t>
      </w:r>
      <w:r w:rsidRPr="00476B33">
        <w:t xml:space="preserve">the council </w:t>
      </w:r>
      <w:r>
        <w:t>increasing</w:t>
      </w:r>
      <w:r w:rsidRPr="00476B33">
        <w:t xml:space="preserve"> height </w:t>
      </w:r>
      <w:r>
        <w:t xml:space="preserve">limits </w:t>
      </w:r>
      <w:r w:rsidRPr="00476B33">
        <w:t>in some zones to facilitate development of apartments</w:t>
      </w:r>
      <w:r>
        <w:t>.</w:t>
      </w:r>
    </w:p>
    <w:p w:rsidR="009E0C89" w:rsidRDefault="009E0C89" w:rsidP="004C2A5A">
      <w:pPr>
        <w:pStyle w:val="BodyText"/>
        <w:rPr>
          <w:color w:val="000000" w:themeColor="text1"/>
        </w:rPr>
      </w:pPr>
      <w:r w:rsidRPr="00476B33">
        <w:rPr>
          <w:color w:val="000000" w:themeColor="text1"/>
        </w:rPr>
        <w:t xml:space="preserve">Tauranga </w:t>
      </w:r>
      <w:r>
        <w:rPr>
          <w:color w:val="000000" w:themeColor="text1"/>
        </w:rPr>
        <w:t xml:space="preserve">City </w:t>
      </w:r>
      <w:r w:rsidRPr="00476B33">
        <w:rPr>
          <w:color w:val="000000" w:themeColor="text1"/>
        </w:rPr>
        <w:t xml:space="preserve">and Hamilton </w:t>
      </w:r>
      <w:r>
        <w:rPr>
          <w:color w:val="000000" w:themeColor="text1"/>
        </w:rPr>
        <w:t xml:space="preserve">City </w:t>
      </w:r>
      <w:r w:rsidRPr="00476B33">
        <w:rPr>
          <w:color w:val="000000" w:themeColor="text1"/>
        </w:rPr>
        <w:t>have started to</w:t>
      </w:r>
      <w:r>
        <w:rPr>
          <w:color w:val="000000" w:themeColor="text1"/>
        </w:rPr>
        <w:t xml:space="preserve"> carry out</w:t>
      </w:r>
      <w:r w:rsidRPr="00476B33">
        <w:rPr>
          <w:color w:val="000000" w:themeColor="text1"/>
        </w:rPr>
        <w:t xml:space="preserve"> research </w:t>
      </w:r>
      <w:r>
        <w:rPr>
          <w:color w:val="000000" w:themeColor="text1"/>
        </w:rPr>
        <w:t xml:space="preserve">on </w:t>
      </w:r>
      <w:r w:rsidRPr="00476B33">
        <w:rPr>
          <w:color w:val="000000" w:themeColor="text1"/>
        </w:rPr>
        <w:t xml:space="preserve">development capacity </w:t>
      </w:r>
      <w:r>
        <w:rPr>
          <w:color w:val="000000" w:themeColor="text1"/>
        </w:rPr>
        <w:t xml:space="preserve">in existing urban areas </w:t>
      </w:r>
      <w:r w:rsidRPr="00476B33">
        <w:rPr>
          <w:color w:val="000000" w:themeColor="text1"/>
        </w:rPr>
        <w:t xml:space="preserve">(for residential </w:t>
      </w:r>
      <w:r>
        <w:rPr>
          <w:color w:val="000000" w:themeColor="text1"/>
        </w:rPr>
        <w:t>uses</w:t>
      </w:r>
      <w:r w:rsidRPr="00476B33">
        <w:rPr>
          <w:color w:val="000000" w:themeColor="text1"/>
        </w:rPr>
        <w:t>)</w:t>
      </w:r>
      <w:r>
        <w:rPr>
          <w:color w:val="000000" w:themeColor="text1"/>
        </w:rPr>
        <w:t>:</w:t>
      </w:r>
      <w:r w:rsidRPr="00476B33">
        <w:rPr>
          <w:color w:val="000000" w:themeColor="text1"/>
        </w:rPr>
        <w:t xml:space="preserve"> </w:t>
      </w:r>
      <w:r>
        <w:rPr>
          <w:color w:val="000000" w:themeColor="text1"/>
        </w:rPr>
        <w:t xml:space="preserve">Hamilton City has carried out a study on the development capacity of all </w:t>
      </w:r>
      <w:r w:rsidRPr="002B1B2F">
        <w:rPr>
          <w:color w:val="000000" w:themeColor="text1"/>
        </w:rPr>
        <w:t>of its current high density zones.</w:t>
      </w:r>
      <w:r>
        <w:rPr>
          <w:color w:val="000000" w:themeColor="text1"/>
        </w:rPr>
        <w:t xml:space="preserve"> Tauranga City’s analysis </w:t>
      </w:r>
      <w:r w:rsidRPr="00476B33">
        <w:rPr>
          <w:color w:val="000000" w:themeColor="text1"/>
        </w:rPr>
        <w:t xml:space="preserve">has been confined to development opportunities in and around the central city area </w:t>
      </w:r>
      <w:r>
        <w:rPr>
          <w:color w:val="000000" w:themeColor="text1"/>
        </w:rPr>
        <w:t xml:space="preserve">where </w:t>
      </w:r>
      <w:r w:rsidRPr="00476B33">
        <w:rPr>
          <w:color w:val="000000" w:themeColor="text1"/>
        </w:rPr>
        <w:t xml:space="preserve">early analysis </w:t>
      </w:r>
      <w:r>
        <w:rPr>
          <w:color w:val="000000" w:themeColor="text1"/>
        </w:rPr>
        <w:t>has shown it is most</w:t>
      </w:r>
      <w:r w:rsidRPr="00476B33">
        <w:rPr>
          <w:color w:val="000000" w:themeColor="text1"/>
        </w:rPr>
        <w:t xml:space="preserve"> </w:t>
      </w:r>
      <w:r>
        <w:rPr>
          <w:color w:val="000000" w:themeColor="text1"/>
        </w:rPr>
        <w:t>commercially feasible.</w:t>
      </w:r>
      <w:r w:rsidRPr="00476B33">
        <w:rPr>
          <w:color w:val="000000" w:themeColor="text1"/>
        </w:rPr>
        <w:t xml:space="preserve"> </w:t>
      </w:r>
      <w:r>
        <w:rPr>
          <w:color w:val="000000" w:themeColor="text1"/>
        </w:rPr>
        <w:t>It is in the process of</w:t>
      </w:r>
      <w:r w:rsidRPr="00476B33">
        <w:rPr>
          <w:color w:val="000000" w:themeColor="text1"/>
        </w:rPr>
        <w:t xml:space="preserve"> securing professional advice from an external consultant to better understand the opportunities and realities for </w:t>
      </w:r>
      <w:r>
        <w:rPr>
          <w:color w:val="000000" w:themeColor="text1"/>
        </w:rPr>
        <w:t>re</w:t>
      </w:r>
      <w:r w:rsidRPr="00476B33">
        <w:rPr>
          <w:color w:val="000000" w:themeColor="text1"/>
        </w:rPr>
        <w:t>development</w:t>
      </w:r>
      <w:r>
        <w:rPr>
          <w:color w:val="000000" w:themeColor="text1"/>
        </w:rPr>
        <w:t xml:space="preserve"> in the existing urban area</w:t>
      </w:r>
      <w:r w:rsidRPr="00476B33">
        <w:rPr>
          <w:color w:val="000000" w:themeColor="text1"/>
        </w:rPr>
        <w:t xml:space="preserve">. </w:t>
      </w:r>
    </w:p>
    <w:p w:rsidR="009E0C89" w:rsidRPr="00476B33" w:rsidRDefault="004C2A5A" w:rsidP="003A4A32">
      <w:pPr>
        <w:pStyle w:val="Heading2"/>
      </w:pPr>
      <w:bookmarkStart w:id="63" w:name="_Toc455071992"/>
      <w:bookmarkStart w:id="64" w:name="_Toc455410526"/>
      <w:r>
        <w:t>6.</w:t>
      </w:r>
      <w:r w:rsidR="007A2E1D">
        <w:t>5</w:t>
      </w:r>
      <w:r>
        <w:tab/>
      </w:r>
      <w:r w:rsidR="009E0C89" w:rsidRPr="00476B33">
        <w:t xml:space="preserve">Development feasibility </w:t>
      </w:r>
      <w:r w:rsidR="009E0C89">
        <w:t>and likelihood</w:t>
      </w:r>
      <w:bookmarkEnd w:id="63"/>
      <w:bookmarkEnd w:id="64"/>
    </w:p>
    <w:p w:rsidR="009E0C89" w:rsidRDefault="009E0C89" w:rsidP="004C2A5A">
      <w:pPr>
        <w:pStyle w:val="BodyText"/>
      </w:pPr>
      <w:r>
        <w:t xml:space="preserve">Land owners will not take up all the development opportunities allowed by plans and supported by infrastructure over a given period of time, or as intended. Both commercial and non-commercial considerations impact the intentions of land owners, including incentives created by the financial system. Land owners and developers will actively assess the benefits of developing or not developing land for particular uses (and in certain ways) now or in the future. </w:t>
      </w:r>
    </w:p>
    <w:p w:rsidR="009E0C89" w:rsidRPr="00476B33" w:rsidRDefault="009E0C89" w:rsidP="004C2A5A">
      <w:pPr>
        <w:pStyle w:val="BodyText"/>
      </w:pPr>
      <w:r>
        <w:t>The assessment of development feasibility and likelihood of development is an area of emerging practice; currently, approximately one</w:t>
      </w:r>
      <w:r w:rsidRPr="00476B33">
        <w:t xml:space="preserve"> third </w:t>
      </w:r>
      <w:r>
        <w:t>of the councils</w:t>
      </w:r>
      <w:r w:rsidRPr="00476B33">
        <w:t xml:space="preserve"> </w:t>
      </w:r>
      <w:r>
        <w:t>surveyed assess the commercial feasibility of development capacity</w:t>
      </w:r>
      <w:r w:rsidRPr="00476B33">
        <w:t xml:space="preserve">. </w:t>
      </w:r>
    </w:p>
    <w:p w:rsidR="009E0C89" w:rsidRPr="00476B33" w:rsidRDefault="009E0C89" w:rsidP="004C2A5A">
      <w:pPr>
        <w:pStyle w:val="BodyText"/>
      </w:pPr>
      <w:r w:rsidRPr="00476B33">
        <w:t>Those councils that do assess development feasibility (Auckland</w:t>
      </w:r>
      <w:r>
        <w:t>,</w:t>
      </w:r>
      <w:r w:rsidRPr="00476B33">
        <w:t xml:space="preserve"> Tauranga</w:t>
      </w:r>
      <w:r>
        <w:t xml:space="preserve"> City, Wellington City , Queenstown-Lakes and Christchurch City on an ad-hoc basis as needed)</w:t>
      </w:r>
      <w:r w:rsidRPr="00476B33">
        <w:t xml:space="preserve"> use external experts </w:t>
      </w:r>
      <w:r>
        <w:t xml:space="preserve">such as </w:t>
      </w:r>
      <w:r w:rsidRPr="00476B33">
        <w:t>economists</w:t>
      </w:r>
      <w:r>
        <w:t>,</w:t>
      </w:r>
      <w:r w:rsidRPr="00476B33">
        <w:t xml:space="preserve"> property developers </w:t>
      </w:r>
      <w:r>
        <w:t xml:space="preserve">or </w:t>
      </w:r>
      <w:proofErr w:type="spellStart"/>
      <w:r w:rsidRPr="00476B33">
        <w:t>valuers</w:t>
      </w:r>
      <w:proofErr w:type="spellEnd"/>
      <w:r>
        <w:t xml:space="preserve"> to assist with this;</w:t>
      </w:r>
      <w:r w:rsidRPr="00476B33">
        <w:t xml:space="preserve"> </w:t>
      </w:r>
      <w:r>
        <w:t>councils</w:t>
      </w:r>
      <w:r w:rsidRPr="00476B33">
        <w:t xml:space="preserve"> </w:t>
      </w:r>
      <w:r>
        <w:t xml:space="preserve">tend </w:t>
      </w:r>
      <w:r w:rsidRPr="00476B33">
        <w:t xml:space="preserve">not </w:t>
      </w:r>
      <w:r>
        <w:t xml:space="preserve">to </w:t>
      </w:r>
      <w:r w:rsidRPr="00476B33">
        <w:t xml:space="preserve">have </w:t>
      </w:r>
      <w:r>
        <w:t xml:space="preserve">all of </w:t>
      </w:r>
      <w:r w:rsidRPr="00476B33">
        <w:t xml:space="preserve">the relevant ‘in-house’ skills or resource </w:t>
      </w:r>
      <w:r>
        <w:t xml:space="preserve">needed </w:t>
      </w:r>
      <w:r w:rsidRPr="00476B33">
        <w:t xml:space="preserve">for such </w:t>
      </w:r>
      <w:r>
        <w:t>analysis</w:t>
      </w:r>
      <w:r w:rsidRPr="00476B33">
        <w:t>.</w:t>
      </w:r>
      <w:r>
        <w:t xml:space="preserve"> The c</w:t>
      </w:r>
      <w:r w:rsidRPr="00F40B44">
        <w:t xml:space="preserve">ouncils </w:t>
      </w:r>
      <w:r>
        <w:t xml:space="preserve">surveyed also </w:t>
      </w:r>
      <w:r w:rsidRPr="00F40B44">
        <w:t>appear to have limited direct engagement with the development community</w:t>
      </w:r>
      <w:r>
        <w:t xml:space="preserve"> to understand commercial feasibility.</w:t>
      </w:r>
    </w:p>
    <w:p w:rsidR="009E0C89" w:rsidRPr="002B1B2F" w:rsidRDefault="009E0C89" w:rsidP="004C2A5A">
      <w:pPr>
        <w:pStyle w:val="BodyText"/>
      </w:pPr>
      <w:r>
        <w:t>E</w:t>
      </w:r>
      <w:r w:rsidRPr="00FB2AD8">
        <w:t xml:space="preserve">xternal experts </w:t>
      </w:r>
      <w:r>
        <w:t>may draw on information about</w:t>
      </w:r>
      <w:r w:rsidRPr="00FB2AD8">
        <w:t xml:space="preserve"> land values, </w:t>
      </w:r>
      <w:r>
        <w:t xml:space="preserve">financing costs, </w:t>
      </w:r>
      <w:r w:rsidRPr="00FB2AD8">
        <w:t>development costs, sale prices, capital investment requirement, capital borrowing costs</w:t>
      </w:r>
      <w:r>
        <w:t>,</w:t>
      </w:r>
      <w:r w:rsidRPr="00FB2AD8">
        <w:t xml:space="preserve"> </w:t>
      </w:r>
      <w:proofErr w:type="gramStart"/>
      <w:r w:rsidRPr="00FB2AD8">
        <w:t>internal</w:t>
      </w:r>
      <w:proofErr w:type="gramEnd"/>
      <w:r w:rsidRPr="00FB2AD8">
        <w:t xml:space="preserve"> rates of return</w:t>
      </w:r>
      <w:r>
        <w:t xml:space="preserve"> and </w:t>
      </w:r>
      <w:r w:rsidRPr="00FB2AD8">
        <w:t>developer margins</w:t>
      </w:r>
      <w:r>
        <w:t xml:space="preserve"> to carry out these assessments</w:t>
      </w:r>
      <w:r w:rsidRPr="002B1B2F">
        <w:t xml:space="preserve">. </w:t>
      </w:r>
    </w:p>
    <w:p w:rsidR="009E0C89" w:rsidRDefault="009E0C89" w:rsidP="004C2A5A">
      <w:pPr>
        <w:pStyle w:val="BodyText"/>
      </w:pPr>
      <w:r>
        <w:t xml:space="preserve">As discussed in </w:t>
      </w:r>
      <w:r w:rsidRPr="007A2E1D">
        <w:t>Section</w:t>
      </w:r>
      <w:r w:rsidR="007A2E1D" w:rsidRPr="007A2E1D">
        <w:t xml:space="preserve"> 4</w:t>
      </w:r>
      <w:r w:rsidR="007A2E1D">
        <w:t>.1</w:t>
      </w:r>
      <w:r>
        <w:t xml:space="preserve">, Auckland Council has gone through an extensive process of modelling the commercial feasibility of development for each land title, using assumptions agreed during expert conferencing on the PAUP. </w:t>
      </w:r>
      <w:r w:rsidRPr="00D25FDD">
        <w:rPr>
          <w:color w:val="000000" w:themeColor="text1"/>
        </w:rPr>
        <w:t>Queenstown</w:t>
      </w:r>
      <w:r>
        <w:rPr>
          <w:color w:val="000000" w:themeColor="text1"/>
        </w:rPr>
        <w:t xml:space="preserve">-Lakes District has </w:t>
      </w:r>
      <w:r w:rsidRPr="00D25FDD">
        <w:rPr>
          <w:color w:val="000000" w:themeColor="text1"/>
        </w:rPr>
        <w:t xml:space="preserve">used a spreadsheet to apply different assumptions </w:t>
      </w:r>
      <w:r>
        <w:rPr>
          <w:color w:val="000000" w:themeColor="text1"/>
        </w:rPr>
        <w:t>about the relationship between commercial feasibility and plan-enabled development capacity.</w:t>
      </w:r>
      <w:r w:rsidRPr="00D25FDD">
        <w:rPr>
          <w:color w:val="000000" w:themeColor="text1"/>
        </w:rPr>
        <w:t xml:space="preserve"> </w:t>
      </w:r>
      <w:r>
        <w:rPr>
          <w:color w:val="000000" w:themeColor="text1"/>
        </w:rPr>
        <w:t>This led to different conclusions about development capacity, and</w:t>
      </w:r>
      <w:r w:rsidRPr="00D25FDD">
        <w:rPr>
          <w:color w:val="000000" w:themeColor="text1"/>
        </w:rPr>
        <w:t xml:space="preserve"> highlighted the limited capacity in </w:t>
      </w:r>
      <w:r>
        <w:rPr>
          <w:color w:val="000000" w:themeColor="text1"/>
        </w:rPr>
        <w:t>Queenstown’s h</w:t>
      </w:r>
      <w:r w:rsidRPr="00D25FDD">
        <w:rPr>
          <w:color w:val="000000" w:themeColor="text1"/>
        </w:rPr>
        <w:t xml:space="preserve">igh </w:t>
      </w:r>
      <w:r>
        <w:rPr>
          <w:color w:val="000000" w:themeColor="text1"/>
        </w:rPr>
        <w:t>d</w:t>
      </w:r>
      <w:r w:rsidRPr="00D25FDD">
        <w:rPr>
          <w:color w:val="000000" w:themeColor="text1"/>
        </w:rPr>
        <w:t xml:space="preserve">ensity </w:t>
      </w:r>
      <w:r>
        <w:rPr>
          <w:color w:val="000000" w:themeColor="text1"/>
        </w:rPr>
        <w:t>z</w:t>
      </w:r>
      <w:r w:rsidRPr="00D25FDD">
        <w:rPr>
          <w:color w:val="000000" w:themeColor="text1"/>
        </w:rPr>
        <w:t>one</w:t>
      </w:r>
      <w:r>
        <w:rPr>
          <w:color w:val="000000" w:themeColor="text1"/>
        </w:rPr>
        <w:t>.</w:t>
      </w:r>
      <w:r w:rsidRPr="00D25FDD">
        <w:rPr>
          <w:color w:val="000000" w:themeColor="text1"/>
        </w:rPr>
        <w:t xml:space="preserve"> </w:t>
      </w:r>
      <w:r>
        <w:rPr>
          <w:color w:val="000000" w:themeColor="text1"/>
        </w:rPr>
        <w:t xml:space="preserve">It </w:t>
      </w:r>
      <w:r w:rsidRPr="00D25FDD">
        <w:rPr>
          <w:color w:val="000000" w:themeColor="text1"/>
        </w:rPr>
        <w:t xml:space="preserve">directly influenced the </w:t>
      </w:r>
      <w:r>
        <w:rPr>
          <w:color w:val="000000" w:themeColor="text1"/>
        </w:rPr>
        <w:t xml:space="preserve">decision </w:t>
      </w:r>
      <w:r w:rsidRPr="00D25FDD">
        <w:rPr>
          <w:color w:val="000000" w:themeColor="text1"/>
        </w:rPr>
        <w:t>to increase development heights in this zone</w:t>
      </w:r>
      <w:r>
        <w:rPr>
          <w:color w:val="000000" w:themeColor="text1"/>
        </w:rPr>
        <w:t xml:space="preserve"> before the plan was notified in August 2015</w:t>
      </w:r>
      <w:r>
        <w:t xml:space="preserve">. </w:t>
      </w:r>
    </w:p>
    <w:p w:rsidR="009E0C89" w:rsidRPr="00250565" w:rsidRDefault="009E0C89" w:rsidP="004C2A5A">
      <w:pPr>
        <w:pStyle w:val="BodyText"/>
        <w:rPr>
          <w:color w:val="000000" w:themeColor="text1"/>
        </w:rPr>
      </w:pPr>
      <w:r>
        <w:rPr>
          <w:color w:val="000000" w:themeColor="text1"/>
        </w:rPr>
        <w:t xml:space="preserve">Wellington City </w:t>
      </w:r>
      <w:r w:rsidRPr="00250565">
        <w:rPr>
          <w:color w:val="000000" w:themeColor="text1"/>
        </w:rPr>
        <w:t>use</w:t>
      </w:r>
      <w:r>
        <w:rPr>
          <w:color w:val="000000" w:themeColor="text1"/>
        </w:rPr>
        <w:t>s</w:t>
      </w:r>
      <w:r w:rsidRPr="00250565">
        <w:rPr>
          <w:color w:val="000000" w:themeColor="text1"/>
        </w:rPr>
        <w:t xml:space="preserve"> </w:t>
      </w:r>
      <w:r>
        <w:rPr>
          <w:color w:val="000000" w:themeColor="text1"/>
        </w:rPr>
        <w:t xml:space="preserve">information on </w:t>
      </w:r>
      <w:r w:rsidRPr="00250565">
        <w:rPr>
          <w:color w:val="000000" w:themeColor="text1"/>
        </w:rPr>
        <w:t>site-specific development costs fo</w:t>
      </w:r>
      <w:r>
        <w:rPr>
          <w:color w:val="000000" w:themeColor="text1"/>
        </w:rPr>
        <w:t>r particular housing typologies</w:t>
      </w:r>
      <w:r w:rsidRPr="00250565">
        <w:rPr>
          <w:color w:val="000000" w:themeColor="text1"/>
        </w:rPr>
        <w:t xml:space="preserve"> based on information from quantity surveyors</w:t>
      </w:r>
      <w:r>
        <w:rPr>
          <w:color w:val="000000" w:themeColor="text1"/>
        </w:rPr>
        <w:t xml:space="preserve"> and evaluates </w:t>
      </w:r>
      <w:r w:rsidRPr="00250565">
        <w:rPr>
          <w:color w:val="000000" w:themeColor="text1"/>
        </w:rPr>
        <w:t>average sale prices by area and housing typology</w:t>
      </w:r>
      <w:r>
        <w:rPr>
          <w:color w:val="000000" w:themeColor="text1"/>
        </w:rPr>
        <w:t>.</w:t>
      </w:r>
      <w:r w:rsidRPr="00250565">
        <w:rPr>
          <w:color w:val="000000" w:themeColor="text1"/>
        </w:rPr>
        <w:t xml:space="preserve"> </w:t>
      </w:r>
      <w:r>
        <w:rPr>
          <w:color w:val="000000" w:themeColor="text1"/>
        </w:rPr>
        <w:t>D</w:t>
      </w:r>
      <w:r w:rsidRPr="00250565">
        <w:rPr>
          <w:color w:val="000000" w:themeColor="text1"/>
        </w:rPr>
        <w:t>evelopments that do not meet a certain threshold</w:t>
      </w:r>
      <w:r>
        <w:rPr>
          <w:color w:val="000000" w:themeColor="text1"/>
        </w:rPr>
        <w:t xml:space="preserve"> of profit margin are discounted from the assessment of development capacity. </w:t>
      </w:r>
    </w:p>
    <w:p w:rsidR="009E0C89" w:rsidRDefault="009E0C89" w:rsidP="004C2A5A">
      <w:pPr>
        <w:pStyle w:val="BodyText"/>
      </w:pPr>
    </w:p>
    <w:p w:rsidR="004C2A5A" w:rsidRDefault="004C2A5A">
      <w:pPr>
        <w:spacing w:before="0" w:after="200" w:line="276" w:lineRule="auto"/>
        <w:jc w:val="left"/>
        <w:rPr>
          <w:rFonts w:eastAsiaTheme="majorEastAsia" w:cstheme="majorBidi"/>
          <w:b/>
          <w:bCs/>
          <w:color w:val="E36F1E"/>
          <w:sz w:val="48"/>
          <w:szCs w:val="28"/>
        </w:rPr>
      </w:pPr>
      <w:bookmarkStart w:id="65" w:name="_Toc449023523"/>
      <w:bookmarkStart w:id="66" w:name="_Toc449040550"/>
      <w:bookmarkStart w:id="67" w:name="_Toc449041611"/>
      <w:bookmarkStart w:id="68" w:name="_Toc450660792"/>
      <w:bookmarkStart w:id="69" w:name="_Toc455071994"/>
      <w:bookmarkEnd w:id="65"/>
      <w:bookmarkEnd w:id="66"/>
      <w:bookmarkEnd w:id="67"/>
      <w:bookmarkEnd w:id="68"/>
      <w:r>
        <w:br w:type="page"/>
      </w:r>
    </w:p>
    <w:p w:rsidR="009E0C89" w:rsidRPr="004D417E" w:rsidRDefault="009E0C89" w:rsidP="001F23F2">
      <w:pPr>
        <w:pStyle w:val="Heading1"/>
        <w:numPr>
          <w:ilvl w:val="0"/>
          <w:numId w:val="29"/>
        </w:numPr>
      </w:pPr>
      <w:bookmarkStart w:id="70" w:name="_Toc455410527"/>
      <w:r w:rsidRPr="004D417E">
        <w:t>Business land analysis</w:t>
      </w:r>
      <w:bookmarkEnd w:id="69"/>
      <w:bookmarkEnd w:id="70"/>
      <w:r w:rsidRPr="004D417E">
        <w:t xml:space="preserve"> </w:t>
      </w:r>
    </w:p>
    <w:p w:rsidR="009E0C89" w:rsidRPr="00F40B44" w:rsidRDefault="004C2A5A" w:rsidP="003A4A32">
      <w:pPr>
        <w:pStyle w:val="Heading2"/>
        <w:spacing w:before="0"/>
      </w:pPr>
      <w:bookmarkStart w:id="71" w:name="_Toc455071995"/>
      <w:bookmarkStart w:id="72" w:name="_Toc455410528"/>
      <w:r>
        <w:t>7.1</w:t>
      </w:r>
      <w:r>
        <w:tab/>
      </w:r>
      <w:r w:rsidR="009E0C89">
        <w:t>Outputs and impact on decisions</w:t>
      </w:r>
      <w:bookmarkEnd w:id="71"/>
      <w:bookmarkEnd w:id="72"/>
    </w:p>
    <w:p w:rsidR="009E0C89" w:rsidRDefault="009E0C89" w:rsidP="004C2A5A">
      <w:pPr>
        <w:pStyle w:val="BodyText"/>
      </w:pPr>
      <w:r>
        <w:t>Analysis</w:t>
      </w:r>
      <w:r w:rsidRPr="00476B33">
        <w:t xml:space="preserve"> of business land </w:t>
      </w:r>
      <w:r>
        <w:t xml:space="preserve">provides useful information to support decisions about allocating land to different uses </w:t>
      </w:r>
      <w:r w:rsidRPr="00476B33">
        <w:t>(</w:t>
      </w:r>
      <w:proofErr w:type="spellStart"/>
      <w:r w:rsidR="009F237A">
        <w:t>eg</w:t>
      </w:r>
      <w:proofErr w:type="spellEnd"/>
      <w:r w:rsidRPr="00476B33">
        <w:t>, retail versus manufacturing, business versus residential</w:t>
      </w:r>
      <w:r>
        <w:t>)</w:t>
      </w:r>
      <w:r w:rsidRPr="00476B33">
        <w:t>.</w:t>
      </w:r>
      <w:r>
        <w:t xml:space="preserve"> These decisions impact social and economic well-being and how efficiently land is used.</w:t>
      </w:r>
    </w:p>
    <w:p w:rsidR="009E0C89" w:rsidRPr="00476B33" w:rsidRDefault="009E0C89" w:rsidP="004C2A5A">
      <w:pPr>
        <w:pStyle w:val="BodyText"/>
        <w:rPr>
          <w:color w:val="000000" w:themeColor="text1"/>
        </w:rPr>
      </w:pPr>
      <w:r>
        <w:rPr>
          <w:color w:val="000000" w:themeColor="text1"/>
        </w:rPr>
        <w:t>The councils</w:t>
      </w:r>
      <w:r w:rsidRPr="00476B33">
        <w:rPr>
          <w:color w:val="000000" w:themeColor="text1"/>
        </w:rPr>
        <w:t xml:space="preserve"> </w:t>
      </w:r>
      <w:r>
        <w:rPr>
          <w:color w:val="000000" w:themeColor="text1"/>
        </w:rPr>
        <w:t xml:space="preserve">surveyed devote less resource </w:t>
      </w:r>
      <w:r w:rsidRPr="00476B33">
        <w:rPr>
          <w:color w:val="000000" w:themeColor="text1"/>
        </w:rPr>
        <w:t xml:space="preserve">to </w:t>
      </w:r>
      <w:r>
        <w:rPr>
          <w:color w:val="000000" w:themeColor="text1"/>
        </w:rPr>
        <w:t>understanding</w:t>
      </w:r>
      <w:r w:rsidRPr="00476B33">
        <w:rPr>
          <w:color w:val="000000" w:themeColor="text1"/>
        </w:rPr>
        <w:t xml:space="preserve"> business land</w:t>
      </w:r>
      <w:r>
        <w:rPr>
          <w:color w:val="000000" w:themeColor="text1"/>
        </w:rPr>
        <w:t>, however,</w:t>
      </w:r>
      <w:r w:rsidRPr="00476B33">
        <w:rPr>
          <w:color w:val="000000" w:themeColor="text1"/>
        </w:rPr>
        <w:t xml:space="preserve"> than </w:t>
      </w:r>
      <w:r>
        <w:rPr>
          <w:color w:val="000000" w:themeColor="text1"/>
        </w:rPr>
        <w:t>for housing</w:t>
      </w:r>
      <w:r w:rsidRPr="00476B33">
        <w:rPr>
          <w:color w:val="000000" w:themeColor="text1"/>
        </w:rPr>
        <w:t>. In many ways it is a more complex exercise</w:t>
      </w:r>
      <w:r>
        <w:rPr>
          <w:color w:val="000000" w:themeColor="text1"/>
        </w:rPr>
        <w:t>:</w:t>
      </w:r>
      <w:r w:rsidRPr="00476B33">
        <w:rPr>
          <w:color w:val="000000" w:themeColor="text1"/>
        </w:rPr>
        <w:t xml:space="preserve"> </w:t>
      </w:r>
      <w:r>
        <w:rPr>
          <w:color w:val="000000" w:themeColor="text1"/>
        </w:rPr>
        <w:t>d</w:t>
      </w:r>
      <w:r w:rsidRPr="00476B33">
        <w:rPr>
          <w:color w:val="000000" w:themeColor="text1"/>
        </w:rPr>
        <w:t>ifferent types of businesses have markedly different demands for business space</w:t>
      </w:r>
      <w:r w:rsidRPr="00476B33">
        <w:rPr>
          <w:rStyle w:val="FootnoteReference"/>
          <w:rFonts w:ascii="Arial" w:hAnsi="Arial" w:cs="Arial"/>
          <w:color w:val="000000" w:themeColor="text1"/>
        </w:rPr>
        <w:footnoteReference w:id="10"/>
      </w:r>
      <w:r w:rsidRPr="00476B33">
        <w:rPr>
          <w:color w:val="000000" w:themeColor="text1"/>
        </w:rPr>
        <w:t>, it is inherently difficult to forecast economic development</w:t>
      </w:r>
      <w:r>
        <w:rPr>
          <w:color w:val="000000" w:themeColor="text1"/>
        </w:rPr>
        <w:t xml:space="preserve"> and activity</w:t>
      </w:r>
      <w:r w:rsidRPr="00476B33">
        <w:rPr>
          <w:color w:val="000000" w:themeColor="text1"/>
        </w:rPr>
        <w:t xml:space="preserve">, and the data on business land is poor. The </w:t>
      </w:r>
      <w:r>
        <w:rPr>
          <w:color w:val="000000" w:themeColor="text1"/>
        </w:rPr>
        <w:t>community</w:t>
      </w:r>
      <w:r w:rsidRPr="00476B33">
        <w:rPr>
          <w:color w:val="000000" w:themeColor="text1"/>
        </w:rPr>
        <w:t xml:space="preserve"> is generally more sensitive to and invested in the </w:t>
      </w:r>
      <w:r>
        <w:rPr>
          <w:color w:val="000000" w:themeColor="text1"/>
        </w:rPr>
        <w:t>housing</w:t>
      </w:r>
      <w:r w:rsidRPr="00476B33">
        <w:rPr>
          <w:color w:val="000000" w:themeColor="text1"/>
        </w:rPr>
        <w:t xml:space="preserve"> market and, as a result, the political profile </w:t>
      </w:r>
      <w:r>
        <w:rPr>
          <w:color w:val="000000" w:themeColor="text1"/>
        </w:rPr>
        <w:t>tends to be</w:t>
      </w:r>
      <w:r w:rsidRPr="00476B33">
        <w:rPr>
          <w:color w:val="000000" w:themeColor="text1"/>
        </w:rPr>
        <w:t xml:space="preserve"> higher for residential land. With the exception of Auckland Council</w:t>
      </w:r>
      <w:r>
        <w:rPr>
          <w:color w:val="000000" w:themeColor="text1"/>
        </w:rPr>
        <w:t>,</w:t>
      </w:r>
      <w:r w:rsidRPr="00476B33">
        <w:rPr>
          <w:color w:val="000000" w:themeColor="text1"/>
        </w:rPr>
        <w:t xml:space="preserve"> most </w:t>
      </w:r>
      <w:proofErr w:type="gramStart"/>
      <w:r>
        <w:rPr>
          <w:color w:val="000000" w:themeColor="text1"/>
        </w:rPr>
        <w:t>councils</w:t>
      </w:r>
      <w:proofErr w:type="gramEnd"/>
      <w:r w:rsidRPr="00476B33">
        <w:rPr>
          <w:color w:val="000000" w:themeColor="text1"/>
        </w:rPr>
        <w:t xml:space="preserve"> do not have in</w:t>
      </w:r>
      <w:r>
        <w:rPr>
          <w:color w:val="000000" w:themeColor="text1"/>
        </w:rPr>
        <w:t>-</w:t>
      </w:r>
      <w:r w:rsidRPr="00476B33">
        <w:rPr>
          <w:color w:val="000000" w:themeColor="text1"/>
        </w:rPr>
        <w:t>house expertise on business land and</w:t>
      </w:r>
      <w:r>
        <w:rPr>
          <w:color w:val="000000" w:themeColor="text1"/>
        </w:rPr>
        <w:t xml:space="preserve"> so</w:t>
      </w:r>
      <w:r w:rsidRPr="00476B33">
        <w:rPr>
          <w:color w:val="000000" w:themeColor="text1"/>
        </w:rPr>
        <w:t xml:space="preserve"> rely on external consultants. </w:t>
      </w:r>
    </w:p>
    <w:p w:rsidR="009E0C89" w:rsidRDefault="009E0C89" w:rsidP="004C2A5A">
      <w:pPr>
        <w:pStyle w:val="BodyText"/>
      </w:pPr>
      <w:r>
        <w:t xml:space="preserve">Auckland and Christchurch City have undertaken the most comprehensive and recent work to forecast business land demand and development capacity as part of their plan review processes. Christchurch City has undertaken a large amount of work on future business land capacity for the Urban Development Strategy. Business land modelling is also an important part of the development contributions policy in each long term plan. </w:t>
      </w:r>
    </w:p>
    <w:p w:rsidR="009E0C89" w:rsidRPr="00476B33" w:rsidRDefault="009E0C89" w:rsidP="004C2A5A">
      <w:pPr>
        <w:pStyle w:val="BodyText"/>
      </w:pPr>
      <w:r>
        <w:t xml:space="preserve">As part of plan change processes over the last 10 years, Queenstown-Lakes District has evaluated business land development capacity; through the forthcoming second stage of its plan review, council officers will be looking at business land demand and development capacity in more depth. Other councils have only </w:t>
      </w:r>
      <w:r w:rsidRPr="00F40B44">
        <w:t xml:space="preserve">commissioned or undertaken work on </w:t>
      </w:r>
      <w:r>
        <w:t>specific sectors and not</w:t>
      </w:r>
      <w:r w:rsidRPr="00476B33">
        <w:t xml:space="preserve"> </w:t>
      </w:r>
      <w:r>
        <w:t>since the end of the recession in 2010</w:t>
      </w:r>
      <w:r w:rsidRPr="00476B33">
        <w:t xml:space="preserve">. </w:t>
      </w:r>
    </w:p>
    <w:p w:rsidR="009E0C89" w:rsidRDefault="009E0C89" w:rsidP="004C2A5A">
      <w:pPr>
        <w:pStyle w:val="BodyText"/>
        <w:rPr>
          <w:color w:val="000000" w:themeColor="text1"/>
        </w:rPr>
      </w:pPr>
      <w:r>
        <w:rPr>
          <w:color w:val="000000" w:themeColor="text1"/>
        </w:rPr>
        <w:t>This does not necessarily mean that their plans provide insufficient business land to meet demand. Research on business land also undertaken for the national policy statement</w:t>
      </w:r>
      <w:r>
        <w:rPr>
          <w:rStyle w:val="FootnoteReference"/>
          <w:rFonts w:ascii="Arial" w:hAnsi="Arial" w:cs="Arial"/>
          <w:color w:val="000000" w:themeColor="text1"/>
        </w:rPr>
        <w:footnoteReference w:id="11"/>
      </w:r>
      <w:r>
        <w:rPr>
          <w:color w:val="000000" w:themeColor="text1"/>
        </w:rPr>
        <w:t xml:space="preserve"> finds that:</w:t>
      </w:r>
    </w:p>
    <w:p w:rsidR="009E0C89" w:rsidRPr="0082400F" w:rsidRDefault="009E0C89" w:rsidP="004C2A5A">
      <w:pPr>
        <w:pStyle w:val="Bullet"/>
      </w:pPr>
      <w:r w:rsidRPr="0082400F">
        <w:t xml:space="preserve">In general, there does not seem to be the same shortage of capacity for business </w:t>
      </w:r>
      <w:r>
        <w:t>development</w:t>
      </w:r>
      <w:r w:rsidRPr="0082400F">
        <w:t xml:space="preserve"> in resource management plans for urban areas as there appears to be for housing; sufficient supply generally seems to exist in aggregate. </w:t>
      </w:r>
    </w:p>
    <w:p w:rsidR="009E0C89" w:rsidRPr="0082400F" w:rsidRDefault="009E0C89" w:rsidP="004C2A5A">
      <w:pPr>
        <w:pStyle w:val="Bullet"/>
      </w:pPr>
      <w:r w:rsidRPr="0082400F">
        <w:t xml:space="preserve">In some instances outside of Auckland there may even be an over-supply of </w:t>
      </w:r>
      <w:r>
        <w:t xml:space="preserve">land zoned for </w:t>
      </w:r>
      <w:r w:rsidRPr="0082400F">
        <w:t xml:space="preserve">certain types of </w:t>
      </w:r>
      <w:r>
        <w:t xml:space="preserve">business. </w:t>
      </w:r>
      <w:r w:rsidRPr="0082400F">
        <w:t>This may create some different problems, including under</w:t>
      </w:r>
      <w:r>
        <w:t>use</w:t>
      </w:r>
      <w:r w:rsidRPr="0082400F">
        <w:t xml:space="preserve">d infrastructure assets </w:t>
      </w:r>
      <w:r>
        <w:t>or</w:t>
      </w:r>
      <w:r w:rsidRPr="0082400F">
        <w:t xml:space="preserve"> struggling town centres. </w:t>
      </w:r>
    </w:p>
    <w:p w:rsidR="009E0C89" w:rsidRDefault="009E0C89" w:rsidP="004C2A5A">
      <w:pPr>
        <w:pStyle w:val="Bullet"/>
      </w:pPr>
      <w:r>
        <w:t>F</w:t>
      </w:r>
      <w:r w:rsidRPr="0082400F">
        <w:t>or some sectors in some areas</w:t>
      </w:r>
      <w:r>
        <w:t>, however</w:t>
      </w:r>
      <w:r w:rsidRPr="0082400F">
        <w:t xml:space="preserve"> (</w:t>
      </w:r>
      <w:proofErr w:type="spellStart"/>
      <w:r w:rsidRPr="0082400F">
        <w:t>e</w:t>
      </w:r>
      <w:r w:rsidR="009F237A">
        <w:t>g</w:t>
      </w:r>
      <w:proofErr w:type="spellEnd"/>
      <w:r w:rsidR="009F237A">
        <w:t>,</w:t>
      </w:r>
      <w:r w:rsidRPr="0082400F">
        <w:t xml:space="preserve"> </w:t>
      </w:r>
      <w:r>
        <w:t xml:space="preserve">users of </w:t>
      </w:r>
      <w:r w:rsidRPr="0082400F">
        <w:t>industrial land in Auckland), there may not be enough land</w:t>
      </w:r>
      <w:r>
        <w:t xml:space="preserve"> zoned</w:t>
      </w:r>
      <w:r w:rsidRPr="0082400F">
        <w:t xml:space="preserve"> </w:t>
      </w:r>
      <w:r>
        <w:t>‘</w:t>
      </w:r>
      <w:r w:rsidRPr="0082400F">
        <w:t>in the right places</w:t>
      </w:r>
      <w:r>
        <w:t>’</w:t>
      </w:r>
      <w:r w:rsidRPr="0082400F">
        <w:t xml:space="preserve">. </w:t>
      </w:r>
      <w:r>
        <w:t>This partly reflects the difficulty in meeting the specialised land requirements of these sectors, and their capital-intensive nature which makes relocation costly.</w:t>
      </w:r>
    </w:p>
    <w:p w:rsidR="009E0C89" w:rsidRPr="00476B33" w:rsidRDefault="009E0C89" w:rsidP="004C2A5A">
      <w:pPr>
        <w:pStyle w:val="Bullet"/>
      </w:pPr>
      <w:r w:rsidRPr="00E112B9">
        <w:t xml:space="preserve">Overall, it seems that planning </w:t>
      </w:r>
      <w:r>
        <w:t>may struggle</w:t>
      </w:r>
      <w:r w:rsidRPr="00E112B9">
        <w:t xml:space="preserve"> to facil</w:t>
      </w:r>
      <w:r>
        <w:t>it</w:t>
      </w:r>
      <w:r w:rsidRPr="00E112B9">
        <w:t>ate spatial change</w:t>
      </w:r>
      <w:r>
        <w:t xml:space="preserve"> in urban areas in ways that encourage</w:t>
      </w:r>
      <w:r w:rsidRPr="00E112B9">
        <w:t xml:space="preserve"> more efficient use of land and productivity growth.</w:t>
      </w:r>
    </w:p>
    <w:p w:rsidR="009E0C89" w:rsidRPr="00F40B44" w:rsidRDefault="004C2A5A" w:rsidP="003A4A32">
      <w:pPr>
        <w:pStyle w:val="Heading2"/>
      </w:pPr>
      <w:bookmarkStart w:id="73" w:name="_Toc455071996"/>
      <w:bookmarkStart w:id="74" w:name="_Toc455410529"/>
      <w:r>
        <w:t>7.2</w:t>
      </w:r>
      <w:r>
        <w:tab/>
      </w:r>
      <w:r w:rsidR="009E0C89">
        <w:t>Estimating d</w:t>
      </w:r>
      <w:r w:rsidR="009E0C89" w:rsidRPr="00F40B44">
        <w:t xml:space="preserve">emand </w:t>
      </w:r>
      <w:r w:rsidR="009E0C89">
        <w:t>for business space</w:t>
      </w:r>
      <w:bookmarkEnd w:id="73"/>
      <w:bookmarkEnd w:id="74"/>
    </w:p>
    <w:p w:rsidR="009E0C89" w:rsidRDefault="009E0C89" w:rsidP="004C2A5A">
      <w:pPr>
        <w:pStyle w:val="BodyText"/>
      </w:pPr>
      <w:r w:rsidRPr="00476B33">
        <w:t xml:space="preserve">The following flow chart </w:t>
      </w:r>
      <w:r>
        <w:t>outlines generalised methods</w:t>
      </w:r>
      <w:r w:rsidRPr="00476B33">
        <w:t xml:space="preserve"> </w:t>
      </w:r>
      <w:r>
        <w:t xml:space="preserve">used </w:t>
      </w:r>
      <w:r w:rsidRPr="00476B33">
        <w:t>for forecasting business land.</w:t>
      </w:r>
      <w:r>
        <w:t xml:space="preserve"> </w:t>
      </w:r>
    </w:p>
    <w:p w:rsidR="004C2A5A" w:rsidRDefault="004C2A5A" w:rsidP="00571208">
      <w:pPr>
        <w:pStyle w:val="Figureheading"/>
      </w:pPr>
      <w:bookmarkStart w:id="75" w:name="_Toc455071997"/>
      <w:r>
        <w:t>Figure 4: Business land demand processes</w:t>
      </w:r>
      <w:bookmarkEnd w:id="75"/>
    </w:p>
    <w:p w:rsidR="009E0C89" w:rsidRPr="00294432" w:rsidRDefault="009E0C89" w:rsidP="009E0C89">
      <w:pPr>
        <w:pStyle w:val="INTROtext"/>
        <w:spacing w:before="240"/>
        <w:rPr>
          <w:rFonts w:ascii="Arial" w:hAnsi="Arial" w:cs="Arial"/>
          <w:color w:val="000000" w:themeColor="text1"/>
          <w:sz w:val="18"/>
        </w:rPr>
      </w:pPr>
      <w:bookmarkStart w:id="76" w:name="_Toc449023530"/>
      <w:bookmarkStart w:id="77" w:name="_Toc449040557"/>
      <w:bookmarkStart w:id="78" w:name="_Toc449041618"/>
      <w:bookmarkStart w:id="79" w:name="_Toc450660799"/>
      <w:bookmarkEnd w:id="76"/>
      <w:bookmarkEnd w:id="77"/>
      <w:bookmarkEnd w:id="78"/>
      <w:bookmarkEnd w:id="79"/>
      <w:r w:rsidRPr="00294432">
        <w:rPr>
          <w:rFonts w:ascii="Arial" w:hAnsi="Arial" w:cs="Arial"/>
          <w:noProof/>
          <w:lang w:eastAsia="en-NZ"/>
        </w:rPr>
        <w:drawing>
          <wp:inline distT="0" distB="0" distL="0" distR="0" wp14:anchorId="0ACC49FE" wp14:editId="5A3F502A">
            <wp:extent cx="4622546" cy="7239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22546" cy="7239000"/>
                    </a:xfrm>
                    <a:prstGeom prst="rect">
                      <a:avLst/>
                    </a:prstGeom>
                  </pic:spPr>
                </pic:pic>
              </a:graphicData>
            </a:graphic>
          </wp:inline>
        </w:drawing>
      </w:r>
    </w:p>
    <w:p w:rsidR="009E0C89" w:rsidRDefault="009E0C89" w:rsidP="00571208">
      <w:pPr>
        <w:pStyle w:val="BodyText"/>
      </w:pPr>
      <w:bookmarkStart w:id="80" w:name="_Toc450660801"/>
      <w:bookmarkStart w:id="81" w:name="_Toc451436473"/>
      <w:r>
        <w:t xml:space="preserve">The two primary methods used are: </w:t>
      </w:r>
    </w:p>
    <w:p w:rsidR="009E0C89" w:rsidRDefault="009E0C89" w:rsidP="00571208">
      <w:pPr>
        <w:pStyle w:val="Bullet"/>
      </w:pPr>
      <w:r>
        <w:t xml:space="preserve">to base estimates on population and household growth projections </w:t>
      </w:r>
    </w:p>
    <w:p w:rsidR="009E0C89" w:rsidRDefault="009E0C89" w:rsidP="00571208">
      <w:pPr>
        <w:pStyle w:val="Bullet"/>
      </w:pPr>
      <w:proofErr w:type="gramStart"/>
      <w:r>
        <w:t>to</w:t>
      </w:r>
      <w:proofErr w:type="gramEnd"/>
      <w:r>
        <w:t xml:space="preserve"> use estimates of gross domestic product (GDP) and employment by sector. </w:t>
      </w:r>
    </w:p>
    <w:p w:rsidR="009E0C89" w:rsidRDefault="009E0C89" w:rsidP="00571208">
      <w:pPr>
        <w:pStyle w:val="BodyText"/>
      </w:pPr>
      <w:r>
        <w:t xml:space="preserve">The most comprehensive approach is to integrate these two methods. </w:t>
      </w:r>
      <w:r w:rsidRPr="00D25FDD">
        <w:t xml:space="preserve">Auckland </w:t>
      </w:r>
      <w:r>
        <w:t>Council does this in</w:t>
      </w:r>
      <w:r w:rsidRPr="00D25FDD">
        <w:t xml:space="preserve"> a dynamic model based on changes in forecast economic structures</w:t>
      </w:r>
      <w:r>
        <w:t>, and</w:t>
      </w:r>
      <w:r w:rsidRPr="00D25FDD">
        <w:t xml:space="preserve"> </w:t>
      </w:r>
      <w:r>
        <w:t>i</w:t>
      </w:r>
      <w:r w:rsidRPr="00D25FDD">
        <w:t>t is in the process of building a</w:t>
      </w:r>
      <w:r>
        <w:t xml:space="preserve"> more</w:t>
      </w:r>
      <w:r w:rsidRPr="00D25FDD">
        <w:t xml:space="preserve"> advanced model that integrates transport, land use and economic activity. This model will be able to respond to different economic inputs.</w:t>
      </w:r>
    </w:p>
    <w:p w:rsidR="009E0C89" w:rsidRDefault="009E0C89" w:rsidP="00571208">
      <w:pPr>
        <w:pStyle w:val="BodyText"/>
      </w:pPr>
      <w:r>
        <w:t xml:space="preserve">Other councils and sector-specific studies tend to draw on one of these methods depending on data availability. Statistics New Zealand estimates labour force participation, GDP and employment numbers by sector at the regional level and for large urban areas. Smaller urban areas such as Queenstown only have access to population and household projections, and must commission consultants to come up with estimates for the economic drivers of demand for business space. </w:t>
      </w:r>
    </w:p>
    <w:p w:rsidR="009E0C89" w:rsidRDefault="009E0C89" w:rsidP="00571208">
      <w:pPr>
        <w:pStyle w:val="BodyText"/>
      </w:pPr>
      <w:r>
        <w:t>Whichever method is used, assumptions need to be made in order to calculate demand for floor space of different economic sectors. The more sophisticated assumptions recognise that, for different sectors, there is wide variance in the amount of floor space needed per employee</w:t>
      </w:r>
      <w:r>
        <w:rPr>
          <w:rStyle w:val="FootnoteReference"/>
          <w:rFonts w:ascii="Arial" w:hAnsi="Arial" w:cs="Arial"/>
        </w:rPr>
        <w:footnoteReference w:id="12"/>
      </w:r>
      <w:r>
        <w:t xml:space="preserve">. </w:t>
      </w:r>
    </w:p>
    <w:bookmarkEnd w:id="80"/>
    <w:bookmarkEnd w:id="81"/>
    <w:p w:rsidR="009E0C89" w:rsidRPr="00476B33" w:rsidRDefault="009E0C89" w:rsidP="00571208">
      <w:pPr>
        <w:pStyle w:val="BodyText"/>
      </w:pPr>
      <w:r w:rsidRPr="00D25FDD">
        <w:t xml:space="preserve">Outside of Auckland and Greater Christchurch, </w:t>
      </w:r>
      <w:r>
        <w:t>the councils</w:t>
      </w:r>
      <w:r w:rsidRPr="00D25FDD">
        <w:t xml:space="preserve"> </w:t>
      </w:r>
      <w:r>
        <w:t xml:space="preserve">surveyed </w:t>
      </w:r>
      <w:r w:rsidRPr="00D25FDD">
        <w:t xml:space="preserve">focus on the demand for business land in </w:t>
      </w:r>
      <w:proofErr w:type="gramStart"/>
      <w:r w:rsidRPr="00D25FDD">
        <w:t>greenfield</w:t>
      </w:r>
      <w:proofErr w:type="gramEnd"/>
      <w:r w:rsidRPr="00D25FDD">
        <w:t xml:space="preserve"> areas. Auckland Council and Greater Christchurch have estimated total demand</w:t>
      </w:r>
      <w:r>
        <w:t>,</w:t>
      </w:r>
      <w:r w:rsidRPr="00D25FDD">
        <w:t xml:space="preserve"> including demands for different and more efficient use of land in </w:t>
      </w:r>
      <w:r>
        <w:t>existing urban</w:t>
      </w:r>
      <w:r w:rsidRPr="00D25FDD">
        <w:t xml:space="preserve"> areas. </w:t>
      </w:r>
    </w:p>
    <w:p w:rsidR="009E0C89" w:rsidRDefault="009E0C89" w:rsidP="00571208">
      <w:pPr>
        <w:pStyle w:val="BodyText"/>
      </w:pPr>
      <w:r>
        <w:t>Currently, a</w:t>
      </w:r>
      <w:r w:rsidRPr="00D25FDD">
        <w:t xml:space="preserve">ll forecasting of demand for business land </w:t>
      </w:r>
      <w:r>
        <w:t>is</w:t>
      </w:r>
      <w:r w:rsidRPr="00D25FDD">
        <w:t xml:space="preserve"> </w:t>
      </w:r>
      <w:r>
        <w:t xml:space="preserve">a </w:t>
      </w:r>
      <w:r w:rsidRPr="00D25FDD">
        <w:t xml:space="preserve">theoretical </w:t>
      </w:r>
      <w:r>
        <w:t xml:space="preserve">exercise, </w:t>
      </w:r>
      <w:r w:rsidRPr="00D25FDD">
        <w:t xml:space="preserve">with no </w:t>
      </w:r>
      <w:r>
        <w:t xml:space="preserve">testing </w:t>
      </w:r>
      <w:r w:rsidRPr="00D25FDD">
        <w:t>against the market realities of demand.</w:t>
      </w:r>
      <w:r>
        <w:t xml:space="preserve"> Testing the commercial feasibility of business land is likely to be much more complex than for residential development (which is already complex). For example, none of the councils surveyed have explored </w:t>
      </w:r>
      <w:r w:rsidRPr="00D25FDD">
        <w:t xml:space="preserve">whether location </w:t>
      </w:r>
      <w:r>
        <w:t xml:space="preserve">is </w:t>
      </w:r>
      <w:r w:rsidRPr="00D25FDD">
        <w:t xml:space="preserve">a reason why some </w:t>
      </w:r>
      <w:r>
        <w:t xml:space="preserve">zoned business land </w:t>
      </w:r>
      <w:r w:rsidRPr="00D25FDD">
        <w:t>remain</w:t>
      </w:r>
      <w:r>
        <w:t>s</w:t>
      </w:r>
      <w:r w:rsidRPr="00D25FDD">
        <w:t xml:space="preserve"> vacant. </w:t>
      </w:r>
    </w:p>
    <w:p w:rsidR="009E0C89" w:rsidRPr="00476B33" w:rsidRDefault="00571208" w:rsidP="003A4A32">
      <w:pPr>
        <w:pStyle w:val="Heading2"/>
      </w:pPr>
      <w:bookmarkStart w:id="82" w:name="_Toc455071998"/>
      <w:bookmarkStart w:id="83" w:name="_Toc455410530"/>
      <w:r>
        <w:t>7.3</w:t>
      </w:r>
      <w:r>
        <w:tab/>
      </w:r>
      <w:r w:rsidR="009E0C89" w:rsidRPr="00D25FDD">
        <w:t>Measuring business land development capacity</w:t>
      </w:r>
      <w:bookmarkEnd w:id="82"/>
      <w:bookmarkEnd w:id="83"/>
      <w:r w:rsidR="009E0C89" w:rsidRPr="00D25FDD">
        <w:t xml:space="preserve"> </w:t>
      </w:r>
    </w:p>
    <w:p w:rsidR="009E0C89" w:rsidRPr="00D25FDD" w:rsidRDefault="009E0C89" w:rsidP="00571208">
      <w:pPr>
        <w:pStyle w:val="BodyText"/>
      </w:pPr>
      <w:r w:rsidRPr="00D25FDD">
        <w:t>Auckland, Christchurch</w:t>
      </w:r>
      <w:r>
        <w:t xml:space="preserve"> City</w:t>
      </w:r>
      <w:r w:rsidRPr="00D25FDD">
        <w:t>, Tauranga</w:t>
      </w:r>
      <w:r>
        <w:t xml:space="preserve"> City</w:t>
      </w:r>
      <w:r w:rsidRPr="00D25FDD">
        <w:t xml:space="preserve"> and Queenstown</w:t>
      </w:r>
      <w:r>
        <w:t xml:space="preserve">-Lakes District have recently carried out or commissioned reviews of </w:t>
      </w:r>
      <w:r w:rsidRPr="00D25FDD">
        <w:t>business land supply and</w:t>
      </w:r>
      <w:r>
        <w:t xml:space="preserve"> development</w:t>
      </w:r>
      <w:r w:rsidRPr="00D25FDD">
        <w:t xml:space="preserve"> capacity</w:t>
      </w:r>
      <w:r>
        <w:t xml:space="preserve"> (Queenstown-Lakes District as part of plan change processes over the last 10 years). These </w:t>
      </w:r>
      <w:r w:rsidRPr="00D25FDD">
        <w:t>use</w:t>
      </w:r>
      <w:r>
        <w:t>d</w:t>
      </w:r>
      <w:r w:rsidRPr="00D25FDD">
        <w:t xml:space="preserve"> </w:t>
      </w:r>
      <w:r>
        <w:t xml:space="preserve">similar </w:t>
      </w:r>
      <w:r w:rsidRPr="00D25FDD">
        <w:t>process</w:t>
      </w:r>
      <w:r>
        <w:t>es</w:t>
      </w:r>
      <w:r w:rsidRPr="00D25FDD">
        <w:t xml:space="preserve"> </w:t>
      </w:r>
      <w:r>
        <w:t>to those used to assess</w:t>
      </w:r>
      <w:r w:rsidRPr="00D25FDD">
        <w:t xml:space="preserve"> residential </w:t>
      </w:r>
      <w:r>
        <w:t xml:space="preserve">development </w:t>
      </w:r>
      <w:r w:rsidRPr="00D25FDD">
        <w:t>capacity, including:</w:t>
      </w:r>
    </w:p>
    <w:p w:rsidR="009E0C89" w:rsidRPr="00D25FDD" w:rsidRDefault="009E0C89" w:rsidP="00571208">
      <w:pPr>
        <w:pStyle w:val="Bullet"/>
      </w:pPr>
      <w:r>
        <w:t>using</w:t>
      </w:r>
      <w:r w:rsidRPr="00D25FDD">
        <w:t xml:space="preserve"> land value</w:t>
      </w:r>
      <w:r>
        <w:t xml:space="preserve"> to </w:t>
      </w:r>
      <w:r w:rsidRPr="00D25FDD">
        <w:t>capital value ratios to determine the development potential of a site</w:t>
      </w:r>
    </w:p>
    <w:p w:rsidR="009E0C89" w:rsidRPr="00D25FDD" w:rsidRDefault="009E0C89" w:rsidP="00571208">
      <w:pPr>
        <w:pStyle w:val="Bullet"/>
      </w:pPr>
      <w:r w:rsidRPr="00D25FDD">
        <w:t xml:space="preserve">determining building area to land area ratios to quantify </w:t>
      </w:r>
      <w:r>
        <w:t xml:space="preserve">the </w:t>
      </w:r>
      <w:r w:rsidRPr="00D25FDD">
        <w:t>extent of site coverage</w:t>
      </w:r>
    </w:p>
    <w:p w:rsidR="009E0C89" w:rsidRPr="00D25FDD" w:rsidRDefault="009E0C89" w:rsidP="00571208">
      <w:pPr>
        <w:pStyle w:val="Bullet"/>
      </w:pPr>
      <w:proofErr w:type="gramStart"/>
      <w:r w:rsidRPr="00D25FDD">
        <w:t>applying</w:t>
      </w:r>
      <w:proofErr w:type="gramEnd"/>
      <w:r w:rsidRPr="00D25FDD">
        <w:t xml:space="preserve"> a </w:t>
      </w:r>
      <w:r>
        <w:t>‘</w:t>
      </w:r>
      <w:r w:rsidRPr="00D25FDD">
        <w:t>serviced</w:t>
      </w:r>
      <w:r>
        <w:t>’</w:t>
      </w:r>
      <w:r w:rsidRPr="00D25FDD">
        <w:t xml:space="preserve"> or </w:t>
      </w:r>
      <w:r>
        <w:t>‘</w:t>
      </w:r>
      <w:r w:rsidRPr="00D25FDD">
        <w:t>not serviced</w:t>
      </w:r>
      <w:r>
        <w:t>’</w:t>
      </w:r>
      <w:r w:rsidRPr="00D25FDD">
        <w:t xml:space="preserve"> overlay to business-zoned land.</w:t>
      </w:r>
    </w:p>
    <w:p w:rsidR="009E0C89" w:rsidRPr="00D25FDD" w:rsidRDefault="009E0C89" w:rsidP="00571208">
      <w:pPr>
        <w:pStyle w:val="BodyText"/>
      </w:pPr>
      <w:r w:rsidRPr="00D25FDD">
        <w:t xml:space="preserve">This approach </w:t>
      </w:r>
      <w:r>
        <w:t>provides an estimate of</w:t>
      </w:r>
      <w:r w:rsidRPr="00D25FDD">
        <w:t xml:space="preserve"> the total land area available, and the total land area ‘</w:t>
      </w:r>
      <w:r w:rsidRPr="00476B33">
        <w:t>ready to go</w:t>
      </w:r>
      <w:r w:rsidRPr="00D25FDD">
        <w:rPr>
          <w:i/>
        </w:rPr>
        <w:t>’</w:t>
      </w:r>
      <w:r w:rsidRPr="00D25FDD">
        <w:t xml:space="preserve"> at any point in time.</w:t>
      </w:r>
      <w:r>
        <w:t xml:space="preserve"> </w:t>
      </w:r>
      <w:r w:rsidRPr="00D25FDD">
        <w:t xml:space="preserve">None of </w:t>
      </w:r>
      <w:r>
        <w:t>the councils</w:t>
      </w:r>
      <w:r w:rsidRPr="00D25FDD">
        <w:t xml:space="preserve"> </w:t>
      </w:r>
      <w:r>
        <w:t>surveyed have undertaken</w:t>
      </w:r>
      <w:r w:rsidRPr="00D25FDD">
        <w:t xml:space="preserve"> formal </w:t>
      </w:r>
      <w:r>
        <w:t>testing</w:t>
      </w:r>
      <w:r w:rsidRPr="00D25FDD">
        <w:t xml:space="preserve"> to confirm whether development on </w:t>
      </w:r>
      <w:r>
        <w:t>zoned</w:t>
      </w:r>
      <w:r w:rsidRPr="00D25FDD">
        <w:t xml:space="preserve"> site</w:t>
      </w:r>
      <w:r>
        <w:t>s</w:t>
      </w:r>
      <w:r w:rsidRPr="00D25FDD">
        <w:t xml:space="preserve"> would be </w:t>
      </w:r>
      <w:r>
        <w:t>commercially feasible</w:t>
      </w:r>
      <w:r w:rsidRPr="00D25FDD">
        <w:t>. Becau</w:t>
      </w:r>
      <w:r>
        <w:t>se the land is zoned, the councils</w:t>
      </w:r>
      <w:r w:rsidRPr="00D25FDD">
        <w:t xml:space="preserve"> assume </w:t>
      </w:r>
      <w:r>
        <w:t>they provide</w:t>
      </w:r>
      <w:r w:rsidRPr="00D25FDD">
        <w:t xml:space="preserve"> capacity for </w:t>
      </w:r>
      <w:r>
        <w:t>business</w:t>
      </w:r>
      <w:r w:rsidRPr="00D25FDD">
        <w:t xml:space="preserve">. </w:t>
      </w:r>
      <w:r>
        <w:t xml:space="preserve">Modelling commercial feasibility for business land is likely to be more complex than for residential development.  </w:t>
      </w:r>
    </w:p>
    <w:p w:rsidR="009E0C89" w:rsidRPr="00476B33" w:rsidRDefault="009E0C89" w:rsidP="00571208">
      <w:pPr>
        <w:pStyle w:val="BodyText"/>
      </w:pPr>
      <w:r>
        <w:t>The other councils</w:t>
      </w:r>
      <w:r w:rsidRPr="00476B33">
        <w:t xml:space="preserve"> </w:t>
      </w:r>
      <w:r>
        <w:t xml:space="preserve">surveyed have not recently </w:t>
      </w:r>
      <w:r w:rsidRPr="00476B33">
        <w:t xml:space="preserve">analysed business development capacity </w:t>
      </w:r>
      <w:r>
        <w:t>and</w:t>
      </w:r>
      <w:r w:rsidRPr="00476B33">
        <w:t xml:space="preserve"> </w:t>
      </w:r>
      <w:r>
        <w:t xml:space="preserve">in general are not </w:t>
      </w:r>
      <w:r w:rsidRPr="00476B33">
        <w:t>able to confirm how much vacant business land they ha</w:t>
      </w:r>
      <w:r>
        <w:t>ve</w:t>
      </w:r>
      <w:r w:rsidRPr="00476B33">
        <w:t xml:space="preserve"> in their area, either in total</w:t>
      </w:r>
      <w:r>
        <w:t>,</w:t>
      </w:r>
      <w:r w:rsidRPr="00476B33">
        <w:t xml:space="preserve"> or as serviced and available land. </w:t>
      </w:r>
    </w:p>
    <w:p w:rsidR="009E0C89" w:rsidRDefault="009E0C89" w:rsidP="00571208">
      <w:pPr>
        <w:pStyle w:val="BodyText"/>
      </w:pPr>
      <w:r>
        <w:t>It appears</w:t>
      </w:r>
      <w:r w:rsidRPr="00476B33">
        <w:t xml:space="preserve"> that</w:t>
      </w:r>
      <w:r>
        <w:t xml:space="preserve"> some</w:t>
      </w:r>
      <w:r w:rsidRPr="00476B33">
        <w:t xml:space="preserve"> </w:t>
      </w:r>
      <w:proofErr w:type="gramStart"/>
      <w:r>
        <w:t>councils</w:t>
      </w:r>
      <w:proofErr w:type="gramEnd"/>
      <w:r w:rsidRPr="00476B33">
        <w:t xml:space="preserve"> </w:t>
      </w:r>
      <w:r>
        <w:t xml:space="preserve">tend to </w:t>
      </w:r>
      <w:r w:rsidRPr="00476B33">
        <w:t>deal</w:t>
      </w:r>
      <w:r>
        <w:t xml:space="preserve"> </w:t>
      </w:r>
      <w:r w:rsidRPr="00476B33">
        <w:t xml:space="preserve">with business land issues reactively rather than proactively. Most thought they had sufficient business land to meet requirements for the foreseeable future, so </w:t>
      </w:r>
      <w:r>
        <w:t xml:space="preserve">further </w:t>
      </w:r>
      <w:r w:rsidRPr="00476B33">
        <w:t xml:space="preserve">analysis was not a high priority. </w:t>
      </w:r>
    </w:p>
    <w:p w:rsidR="009E0C89" w:rsidRDefault="009E0C89" w:rsidP="00571208">
      <w:pPr>
        <w:pStyle w:val="BodyText"/>
      </w:pPr>
      <w:r>
        <w:t xml:space="preserve">One of the challenges in forecasting business land (both demand and development capacity) is to translate between definitions of economic activity and zoning typologies. The Australian and New Zealand Standard Industrial Classification (ANZSIC) is used to group economic activities that have similar input and process characteristics </w:t>
      </w:r>
      <w:r w:rsidR="00AF084F">
        <w:t>(</w:t>
      </w:r>
      <w:proofErr w:type="spellStart"/>
      <w:r w:rsidR="00AF084F">
        <w:t>eg</w:t>
      </w:r>
      <w:proofErr w:type="spellEnd"/>
      <w:r>
        <w:t>, mining extracts natural resources, manufacturing processes resources, retailing is a service). Different zones are based on the environmental effects that are generated by those activities, however, such as air pollution, noise and traffic. Each council has its own classification of zones; some zones allow for a mix of economic activities.</w:t>
      </w:r>
    </w:p>
    <w:p w:rsidR="009E0C89" w:rsidRDefault="009E0C89" w:rsidP="00571208">
      <w:pPr>
        <w:pStyle w:val="BodyText"/>
      </w:pPr>
      <w:r>
        <w:t xml:space="preserve">Table 3 illustrates a typical translation of the ANZSIC classification into zones in resource management plans. </w:t>
      </w:r>
    </w:p>
    <w:p w:rsidR="009E0C89" w:rsidRDefault="009E0C89" w:rsidP="00571208">
      <w:pPr>
        <w:pStyle w:val="Tableheading"/>
      </w:pPr>
      <w:r>
        <w:t xml:space="preserve">Table </w:t>
      </w:r>
      <w:r>
        <w:rPr>
          <w:noProof/>
        </w:rPr>
        <w:t>3</w:t>
      </w:r>
      <w:r>
        <w:t xml:space="preserve"> Translating ANZSIC classifications into business zones </w:t>
      </w:r>
    </w:p>
    <w:tbl>
      <w:tblPr>
        <w:tblW w:w="8502" w:type="dxa"/>
        <w:tblInd w:w="88" w:type="dxa"/>
        <w:tblBorders>
          <w:top w:val="single" w:sz="4" w:space="0" w:color="677719"/>
          <w:left w:val="single" w:sz="4" w:space="0" w:color="677719"/>
          <w:bottom w:val="single" w:sz="4" w:space="0" w:color="677719"/>
          <w:right w:val="single" w:sz="4" w:space="0" w:color="677719"/>
          <w:insideH w:val="single" w:sz="4" w:space="0" w:color="677719"/>
          <w:insideV w:val="single" w:sz="4" w:space="0" w:color="677719"/>
        </w:tblBorders>
        <w:tblLook w:val="04A0" w:firstRow="1" w:lastRow="0" w:firstColumn="1" w:lastColumn="0" w:noHBand="0" w:noVBand="1"/>
      </w:tblPr>
      <w:tblGrid>
        <w:gridCol w:w="5100"/>
        <w:gridCol w:w="3402"/>
      </w:tblGrid>
      <w:tr w:rsidR="009E0C89" w:rsidRPr="00571208" w:rsidTr="001B431E">
        <w:tc>
          <w:tcPr>
            <w:tcW w:w="5100" w:type="dxa"/>
            <w:tcBorders>
              <w:left w:val="nil"/>
            </w:tcBorders>
            <w:shd w:val="clear" w:color="auto" w:fill="auto"/>
          </w:tcPr>
          <w:p w:rsidR="009E0C89" w:rsidRPr="00802443" w:rsidRDefault="009E0C89" w:rsidP="00802443">
            <w:pPr>
              <w:pStyle w:val="TableTextbold"/>
              <w:rPr>
                <w:lang w:val="en-GB"/>
              </w:rPr>
            </w:pPr>
            <w:r w:rsidRPr="00802443">
              <w:rPr>
                <w:lang w:val="en-GB"/>
              </w:rPr>
              <w:t xml:space="preserve">Economic sectors </w:t>
            </w:r>
          </w:p>
          <w:p w:rsidR="009E0C89" w:rsidRPr="00571208" w:rsidRDefault="009E0C89" w:rsidP="00802443">
            <w:pPr>
              <w:pStyle w:val="TableTextbold"/>
              <w:rPr>
                <w:lang w:val="en-GB"/>
              </w:rPr>
            </w:pPr>
            <w:r w:rsidRPr="00802443">
              <w:rPr>
                <w:lang w:val="en-GB"/>
              </w:rPr>
              <w:t>ANZSIC</w:t>
            </w:r>
            <w:r w:rsidRPr="00571208">
              <w:rPr>
                <w:lang w:val="en-GB"/>
              </w:rPr>
              <w:t xml:space="preserve"> </w:t>
            </w:r>
          </w:p>
        </w:tc>
        <w:tc>
          <w:tcPr>
            <w:tcW w:w="3402" w:type="dxa"/>
            <w:tcBorders>
              <w:right w:val="nil"/>
            </w:tcBorders>
            <w:shd w:val="clear" w:color="auto" w:fill="auto"/>
          </w:tcPr>
          <w:p w:rsidR="009E0C89" w:rsidRPr="00802443" w:rsidRDefault="009E0C89" w:rsidP="00802443">
            <w:pPr>
              <w:pStyle w:val="TableTextbold"/>
              <w:rPr>
                <w:rFonts w:eastAsia="SimSun" w:cs="Arial"/>
                <w:lang w:val="en-GB" w:eastAsia="zh-CN"/>
              </w:rPr>
            </w:pPr>
            <w:r w:rsidRPr="00802443">
              <w:rPr>
                <w:lang w:val="en-GB"/>
              </w:rPr>
              <w:t>Business zones in</w:t>
            </w:r>
            <w:r w:rsidR="00514EA8" w:rsidRPr="00802443">
              <w:rPr>
                <w:lang w:val="en-GB"/>
              </w:rPr>
              <w:t xml:space="preserve"> resource management </w:t>
            </w:r>
            <w:r w:rsidRPr="00802443">
              <w:rPr>
                <w:rFonts w:eastAsia="SimSun" w:cs="Arial"/>
                <w:lang w:val="en-GB" w:eastAsia="zh-CN"/>
              </w:rPr>
              <w:t>plans</w:t>
            </w:r>
          </w:p>
        </w:tc>
      </w:tr>
      <w:tr w:rsidR="009E0C89" w:rsidRPr="00571208" w:rsidTr="001B431E">
        <w:tc>
          <w:tcPr>
            <w:tcW w:w="5100" w:type="dxa"/>
            <w:tcBorders>
              <w:left w:val="nil"/>
            </w:tcBorders>
          </w:tcPr>
          <w:p w:rsidR="009E0C89" w:rsidRPr="00571208" w:rsidRDefault="009E0C89" w:rsidP="00514EA8">
            <w:pPr>
              <w:pStyle w:val="Caption"/>
              <w:spacing w:before="60" w:after="0" w:line="240" w:lineRule="auto"/>
              <w:rPr>
                <w:rFonts w:asciiTheme="minorHAnsi" w:hAnsiTheme="minorHAnsi"/>
                <w:b/>
                <w:sz w:val="18"/>
                <w:szCs w:val="18"/>
                <w:lang w:val="en-GB"/>
              </w:rPr>
            </w:pPr>
            <w:r w:rsidRPr="00571208">
              <w:rPr>
                <w:rFonts w:asciiTheme="minorHAnsi" w:hAnsiTheme="minorHAnsi"/>
                <w:sz w:val="18"/>
                <w:szCs w:val="18"/>
                <w:lang w:val="en-GB"/>
              </w:rPr>
              <w:t>Retail trade</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 xml:space="preserve">Accommodation </w:t>
            </w:r>
            <w:r w:rsidR="00514EA8">
              <w:rPr>
                <w:rFonts w:asciiTheme="minorHAnsi" w:hAnsiTheme="minorHAnsi" w:cs="Arial"/>
                <w:sz w:val="18"/>
                <w:szCs w:val="18"/>
                <w:lang w:val="en-GB"/>
              </w:rPr>
              <w:t>and</w:t>
            </w:r>
            <w:r w:rsidRPr="00571208">
              <w:rPr>
                <w:rFonts w:asciiTheme="minorHAnsi" w:hAnsiTheme="minorHAnsi" w:cs="Arial"/>
                <w:sz w:val="18"/>
                <w:szCs w:val="18"/>
                <w:lang w:val="en-GB"/>
              </w:rPr>
              <w:t xml:space="preserve"> food services</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 xml:space="preserve">Information, media </w:t>
            </w:r>
            <w:r w:rsidR="00514EA8">
              <w:rPr>
                <w:rFonts w:asciiTheme="minorHAnsi" w:hAnsiTheme="minorHAnsi" w:cs="Arial"/>
                <w:sz w:val="18"/>
                <w:szCs w:val="18"/>
                <w:lang w:val="en-GB"/>
              </w:rPr>
              <w:t>and</w:t>
            </w:r>
            <w:r w:rsidRPr="00571208">
              <w:rPr>
                <w:rFonts w:asciiTheme="minorHAnsi" w:hAnsiTheme="minorHAnsi" w:cs="Arial"/>
                <w:sz w:val="18"/>
                <w:szCs w:val="18"/>
                <w:lang w:val="en-GB"/>
              </w:rPr>
              <w:t xml:space="preserve"> telecommunications</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Finance and insurance</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 xml:space="preserve">Professional, scientific </w:t>
            </w:r>
            <w:r w:rsidR="00514EA8">
              <w:rPr>
                <w:rFonts w:asciiTheme="minorHAnsi" w:hAnsiTheme="minorHAnsi" w:cs="Arial"/>
                <w:sz w:val="18"/>
                <w:szCs w:val="18"/>
                <w:lang w:val="en-GB"/>
              </w:rPr>
              <w:t>and</w:t>
            </w:r>
            <w:r w:rsidRPr="00571208">
              <w:rPr>
                <w:rFonts w:asciiTheme="minorHAnsi" w:hAnsiTheme="minorHAnsi" w:cs="Arial"/>
                <w:sz w:val="18"/>
                <w:szCs w:val="18"/>
                <w:lang w:val="en-GB"/>
              </w:rPr>
              <w:t xml:space="preserve"> technical services</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 xml:space="preserve">Administrative </w:t>
            </w:r>
            <w:r w:rsidR="00514EA8">
              <w:rPr>
                <w:rFonts w:asciiTheme="minorHAnsi" w:hAnsiTheme="minorHAnsi" w:cs="Arial"/>
                <w:sz w:val="18"/>
                <w:szCs w:val="18"/>
                <w:lang w:val="en-GB"/>
              </w:rPr>
              <w:t>and</w:t>
            </w:r>
            <w:r w:rsidRPr="00571208">
              <w:rPr>
                <w:rFonts w:asciiTheme="minorHAnsi" w:hAnsiTheme="minorHAnsi" w:cs="Arial"/>
                <w:sz w:val="18"/>
                <w:szCs w:val="18"/>
                <w:lang w:val="en-GB"/>
              </w:rPr>
              <w:t xml:space="preserve"> support services</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 xml:space="preserve">Public administration </w:t>
            </w:r>
            <w:r w:rsidR="00514EA8">
              <w:rPr>
                <w:rFonts w:asciiTheme="minorHAnsi" w:hAnsiTheme="minorHAnsi" w:cs="Arial"/>
                <w:sz w:val="18"/>
                <w:szCs w:val="18"/>
                <w:lang w:val="en-GB"/>
              </w:rPr>
              <w:t>and</w:t>
            </w:r>
            <w:r w:rsidRPr="00571208">
              <w:rPr>
                <w:rFonts w:asciiTheme="minorHAnsi" w:hAnsiTheme="minorHAnsi" w:cs="Arial"/>
                <w:sz w:val="18"/>
                <w:szCs w:val="18"/>
                <w:lang w:val="en-GB"/>
              </w:rPr>
              <w:t xml:space="preserve"> safety</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 xml:space="preserve">Education </w:t>
            </w:r>
            <w:r w:rsidR="00514EA8">
              <w:rPr>
                <w:rFonts w:asciiTheme="minorHAnsi" w:hAnsiTheme="minorHAnsi" w:cs="Arial"/>
                <w:sz w:val="18"/>
                <w:szCs w:val="18"/>
                <w:lang w:val="en-GB"/>
              </w:rPr>
              <w:t>and</w:t>
            </w:r>
            <w:r w:rsidRPr="00571208">
              <w:rPr>
                <w:rFonts w:asciiTheme="minorHAnsi" w:hAnsiTheme="minorHAnsi" w:cs="Arial"/>
                <w:sz w:val="18"/>
                <w:szCs w:val="18"/>
                <w:lang w:val="en-GB"/>
              </w:rPr>
              <w:t xml:space="preserve"> training</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 xml:space="preserve">Health care </w:t>
            </w:r>
            <w:r w:rsidR="00514EA8">
              <w:rPr>
                <w:rFonts w:asciiTheme="minorHAnsi" w:hAnsiTheme="minorHAnsi" w:cs="Arial"/>
                <w:sz w:val="18"/>
                <w:szCs w:val="18"/>
                <w:lang w:val="en-GB"/>
              </w:rPr>
              <w:t>and</w:t>
            </w:r>
            <w:r w:rsidRPr="00571208">
              <w:rPr>
                <w:rFonts w:asciiTheme="minorHAnsi" w:hAnsiTheme="minorHAnsi" w:cs="Arial"/>
                <w:sz w:val="18"/>
                <w:szCs w:val="18"/>
                <w:lang w:val="en-GB"/>
              </w:rPr>
              <w:t xml:space="preserve"> social assistance</w:t>
            </w:r>
          </w:p>
          <w:p w:rsidR="009E0C89" w:rsidRPr="00571208" w:rsidRDefault="009E0C89" w:rsidP="00717EC8">
            <w:pPr>
              <w:pStyle w:val="BodyText"/>
              <w:spacing w:before="60" w:after="60"/>
              <w:rPr>
                <w:rFonts w:asciiTheme="minorHAnsi" w:hAnsiTheme="minorHAnsi" w:cs="Arial"/>
                <w:sz w:val="18"/>
                <w:szCs w:val="18"/>
                <w:lang w:val="en-GB"/>
              </w:rPr>
            </w:pPr>
            <w:r w:rsidRPr="00571208">
              <w:rPr>
                <w:rFonts w:asciiTheme="minorHAnsi" w:hAnsiTheme="minorHAnsi" w:cs="Arial"/>
                <w:sz w:val="18"/>
                <w:szCs w:val="18"/>
                <w:lang w:val="en-GB"/>
              </w:rPr>
              <w:t>Arts &amp; recreation</w:t>
            </w:r>
          </w:p>
        </w:tc>
        <w:tc>
          <w:tcPr>
            <w:tcW w:w="3402" w:type="dxa"/>
            <w:tcBorders>
              <w:right w:val="nil"/>
            </w:tcBorders>
          </w:tcPr>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 xml:space="preserve">Metropolitan centre </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Town centre</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Local centre</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Neighbourhood centre</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Retail</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Mixed-use</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General business</w:t>
            </w:r>
          </w:p>
          <w:p w:rsidR="009E0C89" w:rsidRPr="00571208" w:rsidRDefault="009E0C89" w:rsidP="00D21218">
            <w:pPr>
              <w:pStyle w:val="BodyText"/>
              <w:spacing w:before="60" w:after="0"/>
              <w:rPr>
                <w:rFonts w:asciiTheme="minorHAnsi" w:hAnsiTheme="minorHAnsi"/>
                <w:b/>
                <w:sz w:val="18"/>
                <w:szCs w:val="18"/>
                <w:lang w:val="en-GB"/>
              </w:rPr>
            </w:pPr>
            <w:r w:rsidRPr="00D21218">
              <w:rPr>
                <w:rFonts w:asciiTheme="minorHAnsi" w:hAnsiTheme="minorHAnsi" w:cs="Arial"/>
                <w:sz w:val="18"/>
                <w:szCs w:val="18"/>
                <w:lang w:val="en-GB"/>
              </w:rPr>
              <w:t>Business park</w:t>
            </w:r>
          </w:p>
        </w:tc>
      </w:tr>
      <w:tr w:rsidR="009E0C89" w:rsidRPr="00571208" w:rsidTr="001B431E">
        <w:tc>
          <w:tcPr>
            <w:tcW w:w="5100" w:type="dxa"/>
            <w:tcBorders>
              <w:left w:val="nil"/>
            </w:tcBorders>
          </w:tcPr>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 xml:space="preserve">Rental </w:t>
            </w:r>
            <w:r w:rsidR="00514EA8">
              <w:rPr>
                <w:rFonts w:asciiTheme="minorHAnsi" w:hAnsiTheme="minorHAnsi" w:cs="Arial"/>
                <w:sz w:val="18"/>
                <w:szCs w:val="18"/>
                <w:lang w:val="en-GB"/>
              </w:rPr>
              <w:t>and</w:t>
            </w:r>
            <w:r w:rsidRPr="00571208">
              <w:rPr>
                <w:rFonts w:asciiTheme="minorHAnsi" w:hAnsiTheme="minorHAnsi" w:cs="Arial"/>
                <w:sz w:val="18"/>
                <w:szCs w:val="18"/>
                <w:lang w:val="en-GB"/>
              </w:rPr>
              <w:t xml:space="preserve"> hiring services</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Other services (</w:t>
            </w:r>
            <w:proofErr w:type="spellStart"/>
            <w:r w:rsidRPr="00571208">
              <w:rPr>
                <w:rFonts w:asciiTheme="minorHAnsi" w:hAnsiTheme="minorHAnsi" w:cs="Arial"/>
                <w:sz w:val="18"/>
                <w:szCs w:val="18"/>
                <w:lang w:val="en-GB"/>
              </w:rPr>
              <w:t>e</w:t>
            </w:r>
            <w:r w:rsidR="00514EA8">
              <w:rPr>
                <w:rFonts w:asciiTheme="minorHAnsi" w:hAnsiTheme="minorHAnsi" w:cs="Arial"/>
                <w:sz w:val="18"/>
                <w:szCs w:val="18"/>
                <w:lang w:val="en-GB"/>
              </w:rPr>
              <w:t>g</w:t>
            </w:r>
            <w:proofErr w:type="spellEnd"/>
            <w:r w:rsidR="00514EA8">
              <w:rPr>
                <w:rFonts w:asciiTheme="minorHAnsi" w:hAnsiTheme="minorHAnsi" w:cs="Arial"/>
                <w:sz w:val="18"/>
                <w:szCs w:val="18"/>
                <w:lang w:val="en-GB"/>
              </w:rPr>
              <w:t>,</w:t>
            </w:r>
            <w:r w:rsidRPr="00571208">
              <w:rPr>
                <w:rFonts w:asciiTheme="minorHAnsi" w:hAnsiTheme="minorHAnsi" w:cs="Arial"/>
                <w:sz w:val="18"/>
                <w:szCs w:val="18"/>
                <w:lang w:val="en-GB"/>
              </w:rPr>
              <w:t xml:space="preserve"> hardware stores, car repairs)</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Manufacturing</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Wholesale trade</w:t>
            </w:r>
          </w:p>
          <w:p w:rsidR="009E0C89" w:rsidRPr="00571208" w:rsidRDefault="009E0C89" w:rsidP="00717EC8">
            <w:pPr>
              <w:pStyle w:val="BodyText"/>
              <w:spacing w:before="60" w:after="60"/>
              <w:rPr>
                <w:rFonts w:asciiTheme="minorHAnsi" w:hAnsiTheme="minorHAnsi"/>
                <w:sz w:val="18"/>
                <w:szCs w:val="18"/>
                <w:lang w:val="en-GB"/>
              </w:rPr>
            </w:pPr>
            <w:r w:rsidRPr="00571208">
              <w:rPr>
                <w:rFonts w:asciiTheme="minorHAnsi" w:eastAsiaTheme="minorHAnsi" w:hAnsiTheme="minorHAnsi" w:cs="Arial"/>
                <w:sz w:val="18"/>
                <w:szCs w:val="18"/>
                <w:lang w:val="en-GB"/>
              </w:rPr>
              <w:t xml:space="preserve">Transport, postal </w:t>
            </w:r>
            <w:r w:rsidR="00514EA8">
              <w:rPr>
                <w:rFonts w:asciiTheme="minorHAnsi" w:eastAsiaTheme="minorHAnsi" w:hAnsiTheme="minorHAnsi" w:cs="Arial"/>
                <w:sz w:val="18"/>
                <w:szCs w:val="18"/>
                <w:lang w:val="en-GB"/>
              </w:rPr>
              <w:t>and</w:t>
            </w:r>
            <w:r w:rsidRPr="00571208">
              <w:rPr>
                <w:rFonts w:asciiTheme="minorHAnsi" w:eastAsiaTheme="minorHAnsi" w:hAnsiTheme="minorHAnsi" w:cs="Arial"/>
                <w:sz w:val="18"/>
                <w:szCs w:val="18"/>
                <w:lang w:val="en-GB"/>
              </w:rPr>
              <w:t xml:space="preserve"> warehousing</w:t>
            </w:r>
          </w:p>
        </w:tc>
        <w:tc>
          <w:tcPr>
            <w:tcW w:w="3402" w:type="dxa"/>
            <w:tcBorders>
              <w:right w:val="nil"/>
            </w:tcBorders>
          </w:tcPr>
          <w:p w:rsidR="009E0C89" w:rsidRPr="00D21218" w:rsidRDefault="009E0C89" w:rsidP="00D21218">
            <w:pPr>
              <w:pStyle w:val="BodyText"/>
              <w:spacing w:before="60" w:after="0"/>
              <w:rPr>
                <w:rFonts w:asciiTheme="minorHAnsi" w:hAnsiTheme="minorHAnsi" w:cs="Arial"/>
                <w:sz w:val="18"/>
                <w:szCs w:val="18"/>
                <w:lang w:val="en-GB"/>
              </w:rPr>
            </w:pPr>
            <w:r w:rsidRPr="00D21218">
              <w:rPr>
                <w:rFonts w:asciiTheme="minorHAnsi" w:hAnsiTheme="minorHAnsi" w:cs="Arial"/>
                <w:sz w:val="18"/>
                <w:szCs w:val="18"/>
                <w:lang w:val="en-GB"/>
              </w:rPr>
              <w:t>Retail</w:t>
            </w:r>
          </w:p>
          <w:p w:rsidR="009E0C89" w:rsidRPr="00D21218" w:rsidRDefault="009E0C89" w:rsidP="00D21218">
            <w:pPr>
              <w:pStyle w:val="BodyText"/>
              <w:spacing w:before="60" w:after="0"/>
              <w:rPr>
                <w:rFonts w:asciiTheme="minorHAnsi" w:hAnsiTheme="minorHAnsi" w:cs="Arial"/>
                <w:sz w:val="18"/>
                <w:szCs w:val="18"/>
                <w:lang w:val="en-GB"/>
              </w:rPr>
            </w:pPr>
            <w:r w:rsidRPr="00D21218">
              <w:rPr>
                <w:rFonts w:asciiTheme="minorHAnsi" w:hAnsiTheme="minorHAnsi" w:cs="Arial"/>
                <w:sz w:val="18"/>
                <w:szCs w:val="18"/>
                <w:lang w:val="en-GB"/>
              </w:rPr>
              <w:t>Mixed-use</w:t>
            </w:r>
          </w:p>
          <w:p w:rsidR="009E0C89" w:rsidRPr="00D21218" w:rsidRDefault="009E0C89" w:rsidP="00D21218">
            <w:pPr>
              <w:pStyle w:val="BodyText"/>
              <w:spacing w:before="60" w:after="0"/>
              <w:rPr>
                <w:rFonts w:asciiTheme="minorHAnsi" w:hAnsiTheme="minorHAnsi" w:cs="Arial"/>
                <w:sz w:val="18"/>
                <w:szCs w:val="18"/>
                <w:lang w:val="en-GB"/>
              </w:rPr>
            </w:pPr>
            <w:r w:rsidRPr="00D21218">
              <w:rPr>
                <w:rFonts w:asciiTheme="minorHAnsi" w:hAnsiTheme="minorHAnsi" w:cs="Arial"/>
                <w:sz w:val="18"/>
                <w:szCs w:val="18"/>
                <w:lang w:val="en-GB"/>
              </w:rPr>
              <w:t>Light industry</w:t>
            </w:r>
          </w:p>
          <w:p w:rsidR="009E0C89" w:rsidRPr="00571208" w:rsidRDefault="009E0C89" w:rsidP="00D21218">
            <w:pPr>
              <w:pStyle w:val="Header"/>
              <w:spacing w:before="60"/>
              <w:jc w:val="left"/>
              <w:rPr>
                <w:rFonts w:asciiTheme="minorHAnsi" w:hAnsiTheme="minorHAnsi"/>
                <w:sz w:val="18"/>
                <w:szCs w:val="18"/>
              </w:rPr>
            </w:pPr>
          </w:p>
        </w:tc>
      </w:tr>
      <w:tr w:rsidR="009E0C89" w:rsidRPr="00571208" w:rsidTr="001B431E">
        <w:tc>
          <w:tcPr>
            <w:tcW w:w="5100" w:type="dxa"/>
            <w:tcBorders>
              <w:left w:val="nil"/>
            </w:tcBorders>
          </w:tcPr>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Construction</w:t>
            </w:r>
          </w:p>
          <w:p w:rsidR="009E0C89" w:rsidRPr="00571208" w:rsidRDefault="009E0C89" w:rsidP="00514EA8">
            <w:pPr>
              <w:pStyle w:val="BodyText"/>
              <w:spacing w:before="60" w:after="0"/>
              <w:rPr>
                <w:rFonts w:asciiTheme="minorHAnsi" w:hAnsiTheme="minorHAnsi" w:cs="Arial"/>
                <w:sz w:val="18"/>
                <w:szCs w:val="18"/>
                <w:lang w:val="en-GB"/>
              </w:rPr>
            </w:pPr>
            <w:r w:rsidRPr="00571208">
              <w:rPr>
                <w:rFonts w:asciiTheme="minorHAnsi" w:hAnsiTheme="minorHAnsi" w:cs="Arial"/>
                <w:sz w:val="18"/>
                <w:szCs w:val="18"/>
                <w:lang w:val="en-GB"/>
              </w:rPr>
              <w:t xml:space="preserve">Electricity, gas, water </w:t>
            </w:r>
            <w:r w:rsidR="00514EA8">
              <w:rPr>
                <w:rFonts w:asciiTheme="minorHAnsi" w:hAnsiTheme="minorHAnsi" w:cs="Arial"/>
                <w:sz w:val="18"/>
                <w:szCs w:val="18"/>
                <w:lang w:val="en-GB"/>
              </w:rPr>
              <w:t>and</w:t>
            </w:r>
            <w:r w:rsidRPr="00571208">
              <w:rPr>
                <w:rFonts w:asciiTheme="minorHAnsi" w:hAnsiTheme="minorHAnsi" w:cs="Arial"/>
                <w:sz w:val="18"/>
                <w:szCs w:val="18"/>
                <w:lang w:val="en-GB"/>
              </w:rPr>
              <w:t xml:space="preserve"> waste services</w:t>
            </w:r>
          </w:p>
          <w:p w:rsidR="009E0C89" w:rsidRPr="00571208" w:rsidRDefault="009E0C89" w:rsidP="00717EC8">
            <w:pPr>
              <w:pStyle w:val="BodyText"/>
              <w:spacing w:before="60" w:after="60"/>
              <w:rPr>
                <w:rFonts w:asciiTheme="minorHAnsi" w:hAnsiTheme="minorHAnsi"/>
                <w:sz w:val="18"/>
                <w:szCs w:val="18"/>
                <w:lang w:val="en-GB"/>
              </w:rPr>
            </w:pPr>
            <w:r w:rsidRPr="00571208">
              <w:rPr>
                <w:rFonts w:asciiTheme="minorHAnsi" w:eastAsiaTheme="minorHAnsi" w:hAnsiTheme="minorHAnsi" w:cs="Arial"/>
                <w:sz w:val="18"/>
                <w:szCs w:val="18"/>
                <w:lang w:val="en-GB"/>
              </w:rPr>
              <w:t>Mining</w:t>
            </w:r>
          </w:p>
        </w:tc>
        <w:tc>
          <w:tcPr>
            <w:tcW w:w="3402" w:type="dxa"/>
            <w:tcBorders>
              <w:right w:val="nil"/>
            </w:tcBorders>
          </w:tcPr>
          <w:p w:rsidR="009E0C89" w:rsidRPr="00571208" w:rsidRDefault="009E0C89" w:rsidP="00D21218">
            <w:pPr>
              <w:pStyle w:val="BodyText"/>
              <w:spacing w:before="60" w:after="0"/>
              <w:rPr>
                <w:rFonts w:asciiTheme="minorHAnsi" w:hAnsiTheme="minorHAnsi"/>
                <w:b/>
                <w:sz w:val="18"/>
                <w:szCs w:val="18"/>
                <w:lang w:val="en-GB"/>
              </w:rPr>
            </w:pPr>
            <w:r w:rsidRPr="00D21218">
              <w:rPr>
                <w:rFonts w:asciiTheme="minorHAnsi" w:hAnsiTheme="minorHAnsi" w:cs="Arial"/>
                <w:sz w:val="18"/>
                <w:szCs w:val="18"/>
                <w:lang w:val="en-GB"/>
              </w:rPr>
              <w:t>Heavy industry</w:t>
            </w:r>
          </w:p>
        </w:tc>
      </w:tr>
    </w:tbl>
    <w:p w:rsidR="009E0C89" w:rsidRDefault="009E0C89" w:rsidP="00717EC8">
      <w:pPr>
        <w:pStyle w:val="BodyText"/>
        <w:spacing w:before="240"/>
      </w:pPr>
      <w:r w:rsidRPr="001D6540">
        <w:t>Interestingly, approximately half of the councils surveyed said they were aware of the issue of serviced industrial land supply being absorbed by non-industrial uses</w:t>
      </w:r>
      <w:r>
        <w:t xml:space="preserve"> (possibly because of the practice of using more flexible business zones)</w:t>
      </w:r>
      <w:r w:rsidRPr="001D6540">
        <w:t xml:space="preserve">, but were unable to quantify the extent. It </w:t>
      </w:r>
      <w:r>
        <w:t xml:space="preserve">may be </w:t>
      </w:r>
      <w:r w:rsidRPr="001D6540">
        <w:t xml:space="preserve">important to confirm </w:t>
      </w:r>
      <w:r>
        <w:t>whether development activity matches what is planned for</w:t>
      </w:r>
      <w:r w:rsidRPr="001D6540">
        <w:t xml:space="preserve"> to ensure that the district plan is working as intended and to address any economic impacts of such trends in a timely manner. As part of its hearings process, the Auckland</w:t>
      </w:r>
      <w:r>
        <w:t xml:space="preserve"> independent hearing panel (</w:t>
      </w:r>
      <w:r w:rsidRPr="001D6540">
        <w:t>IHP</w:t>
      </w:r>
      <w:r>
        <w:t>)</w:t>
      </w:r>
      <w:r w:rsidRPr="001D6540">
        <w:t xml:space="preserve"> commissioned a study</w:t>
      </w:r>
      <w:r>
        <w:t xml:space="preserve"> tha</w:t>
      </w:r>
      <w:r w:rsidR="00D21218">
        <w:t>t</w:t>
      </w:r>
      <w:r>
        <w:t xml:space="preserve"> looked at, among other things,</w:t>
      </w:r>
      <w:r w:rsidRPr="001D6540">
        <w:t xml:space="preserve"> </w:t>
      </w:r>
      <w:r>
        <w:t xml:space="preserve">whether there was a match between </w:t>
      </w:r>
      <w:r w:rsidRPr="001D6540">
        <w:t>areas zoned ‘light industrial’ in the</w:t>
      </w:r>
      <w:r>
        <w:t xml:space="preserve"> </w:t>
      </w:r>
      <w:r w:rsidRPr="001D6540">
        <w:t xml:space="preserve">PAUP </w:t>
      </w:r>
      <w:r>
        <w:t>and the actual activities taking place in them. T</w:t>
      </w:r>
      <w:r w:rsidRPr="00301151">
        <w:t xml:space="preserve">he </w:t>
      </w:r>
      <w:r>
        <w:t xml:space="preserve">report concluded that there is a strong match </w:t>
      </w:r>
      <w:r w:rsidRPr="00301151">
        <w:t xml:space="preserve">between the </w:t>
      </w:r>
      <w:r>
        <w:t>l</w:t>
      </w:r>
      <w:r w:rsidRPr="00301151">
        <w:t xml:space="preserve">ight </w:t>
      </w:r>
      <w:r>
        <w:t>i</w:t>
      </w:r>
      <w:r w:rsidRPr="00301151">
        <w:t>ndust</w:t>
      </w:r>
      <w:r>
        <w:t>ry zone and industrial activity, but</w:t>
      </w:r>
      <w:r w:rsidRPr="00301151">
        <w:t xml:space="preserve"> there are some</w:t>
      </w:r>
      <w:r>
        <w:t xml:space="preserve"> areas </w:t>
      </w:r>
      <w:r w:rsidRPr="00301151">
        <w:t>that are outliers with a wider spectrum of activities</w:t>
      </w:r>
      <w:r>
        <w:t xml:space="preserve">. </w:t>
      </w:r>
    </w:p>
    <w:p w:rsidR="009E0C89" w:rsidRPr="00294432" w:rsidRDefault="009E0C89" w:rsidP="009E0C89">
      <w:pPr>
        <w:rPr>
          <w:rFonts w:ascii="Arial" w:hAnsi="Arial" w:cs="Arial"/>
          <w:color w:val="000000" w:themeColor="text1"/>
          <w:sz w:val="18"/>
          <w:szCs w:val="21"/>
        </w:rPr>
      </w:pPr>
      <w:r w:rsidRPr="00294432">
        <w:rPr>
          <w:rFonts w:ascii="Arial" w:hAnsi="Arial" w:cs="Arial"/>
          <w:color w:val="000000" w:themeColor="text1"/>
          <w:sz w:val="18"/>
        </w:rPr>
        <w:br w:type="page"/>
      </w:r>
    </w:p>
    <w:p w:rsidR="009E0C89" w:rsidRPr="004D417E" w:rsidRDefault="009E0C89" w:rsidP="001F23F2">
      <w:pPr>
        <w:pStyle w:val="Heading1"/>
        <w:numPr>
          <w:ilvl w:val="0"/>
          <w:numId w:val="29"/>
        </w:numPr>
      </w:pPr>
      <w:bookmarkStart w:id="84" w:name="_Toc449041623"/>
      <w:bookmarkStart w:id="85" w:name="_Toc450660804"/>
      <w:bookmarkStart w:id="86" w:name="_Toc455071999"/>
      <w:bookmarkStart w:id="87" w:name="_Toc455410531"/>
      <w:bookmarkStart w:id="88" w:name="_Toc450660805"/>
      <w:bookmarkStart w:id="89" w:name="_Toc451436476"/>
      <w:bookmarkEnd w:id="84"/>
      <w:bookmarkEnd w:id="85"/>
      <w:r w:rsidRPr="004D417E">
        <w:t>Monitoring</w:t>
      </w:r>
      <w:bookmarkEnd w:id="86"/>
      <w:bookmarkEnd w:id="87"/>
    </w:p>
    <w:p w:rsidR="009E0C89" w:rsidRPr="00B73E10" w:rsidRDefault="00D21218" w:rsidP="003A4A32">
      <w:pPr>
        <w:pStyle w:val="Heading2"/>
        <w:spacing w:before="0"/>
      </w:pPr>
      <w:bookmarkStart w:id="90" w:name="_Toc455072000"/>
      <w:bookmarkStart w:id="91" w:name="_Toc455410532"/>
      <w:r>
        <w:t>8.1</w:t>
      </w:r>
      <w:r>
        <w:tab/>
      </w:r>
      <w:r w:rsidR="009E0C89" w:rsidRPr="00B73E10">
        <w:t xml:space="preserve">Monitoring residential </w:t>
      </w:r>
      <w:r w:rsidR="009E0C89">
        <w:t xml:space="preserve">development </w:t>
      </w:r>
      <w:r w:rsidR="009E0C89" w:rsidRPr="00B73E10">
        <w:t>capacity</w:t>
      </w:r>
      <w:bookmarkEnd w:id="90"/>
      <w:bookmarkEnd w:id="91"/>
      <w:r w:rsidR="009E0C89" w:rsidRPr="00B73E10">
        <w:t xml:space="preserve"> </w:t>
      </w:r>
    </w:p>
    <w:p w:rsidR="009E0C89" w:rsidRPr="00476B33" w:rsidRDefault="009E0C89" w:rsidP="00296349">
      <w:pPr>
        <w:pStyle w:val="BodyText"/>
      </w:pPr>
      <w:r>
        <w:t>R</w:t>
      </w:r>
      <w:r w:rsidRPr="00476B33">
        <w:t>egular monitoring of residential development capacity and market activity</w:t>
      </w:r>
      <w:r>
        <w:t xml:space="preserve"> will cont</w:t>
      </w:r>
      <w:r w:rsidR="00296349">
        <w:t>ribute to a better understanding</w:t>
      </w:r>
      <w:r>
        <w:t xml:space="preserve"> of market trends. The</w:t>
      </w:r>
      <w:r w:rsidRPr="00476B33">
        <w:t xml:space="preserve"> sophistication and frequency of monitoring </w:t>
      </w:r>
      <w:r>
        <w:t xml:space="preserve">by the councils surveyed </w:t>
      </w:r>
      <w:r w:rsidRPr="00476B33">
        <w:t>varied widely.</w:t>
      </w:r>
      <w:r>
        <w:t xml:space="preserve"> </w:t>
      </w:r>
    </w:p>
    <w:p w:rsidR="009E0C89" w:rsidRPr="00294432" w:rsidRDefault="009E0C89" w:rsidP="00296349">
      <w:pPr>
        <w:pStyle w:val="Tableheading"/>
        <w:rPr>
          <w:color w:val="000000" w:themeColor="text1"/>
          <w:sz w:val="18"/>
        </w:rPr>
      </w:pPr>
      <w:r w:rsidRPr="00294432">
        <w:t xml:space="preserve">Table </w:t>
      </w:r>
      <w:r>
        <w:rPr>
          <w:noProof/>
        </w:rPr>
        <w:t>4</w:t>
      </w:r>
      <w:r w:rsidRPr="00294432">
        <w:t xml:space="preserve">: </w:t>
      </w:r>
      <w:r>
        <w:t>R</w:t>
      </w:r>
      <w:r w:rsidRPr="00294432">
        <w:t xml:space="preserve">esidential </w:t>
      </w:r>
      <w:r>
        <w:t xml:space="preserve">development </w:t>
      </w:r>
      <w:r w:rsidRPr="00294432">
        <w:t>capacity monitoring</w:t>
      </w:r>
    </w:p>
    <w:tbl>
      <w:tblPr>
        <w:tblStyle w:val="TableGrid"/>
        <w:tblW w:w="8213" w:type="dxa"/>
        <w:tblBorders>
          <w:top w:val="single" w:sz="4" w:space="0" w:color="677719"/>
          <w:left w:val="none" w:sz="0" w:space="0" w:color="auto"/>
          <w:bottom w:val="single" w:sz="4" w:space="0" w:color="677719"/>
          <w:right w:val="none" w:sz="0" w:space="0" w:color="auto"/>
          <w:insideH w:val="single" w:sz="4" w:space="0" w:color="677719"/>
          <w:insideV w:val="single" w:sz="4" w:space="0" w:color="677719"/>
        </w:tblBorders>
        <w:tblLook w:val="04A0" w:firstRow="1" w:lastRow="0" w:firstColumn="1" w:lastColumn="0" w:noHBand="0" w:noVBand="1"/>
      </w:tblPr>
      <w:tblGrid>
        <w:gridCol w:w="2660"/>
        <w:gridCol w:w="1851"/>
        <w:gridCol w:w="1851"/>
        <w:gridCol w:w="1851"/>
      </w:tblGrid>
      <w:tr w:rsidR="009E0C89" w:rsidTr="001B431E">
        <w:tc>
          <w:tcPr>
            <w:tcW w:w="2660" w:type="dxa"/>
          </w:tcPr>
          <w:p w:rsidR="009E0C89" w:rsidRPr="00B73E10" w:rsidRDefault="009E0C89" w:rsidP="00802443">
            <w:pPr>
              <w:pStyle w:val="TableTextbold"/>
            </w:pPr>
          </w:p>
        </w:tc>
        <w:tc>
          <w:tcPr>
            <w:tcW w:w="5553" w:type="dxa"/>
            <w:gridSpan w:val="3"/>
          </w:tcPr>
          <w:p w:rsidR="009E0C89" w:rsidRPr="00B73E10" w:rsidRDefault="009E0C89" w:rsidP="00802443">
            <w:pPr>
              <w:pStyle w:val="TableTextbold"/>
            </w:pPr>
            <w:r w:rsidRPr="00B73E10">
              <w:t xml:space="preserve">Monitoring of residential development capacity </w:t>
            </w:r>
          </w:p>
        </w:tc>
      </w:tr>
      <w:tr w:rsidR="009E0C89" w:rsidTr="001B431E">
        <w:tc>
          <w:tcPr>
            <w:tcW w:w="2660" w:type="dxa"/>
          </w:tcPr>
          <w:p w:rsidR="009E0C89" w:rsidRPr="00B73E10" w:rsidRDefault="009E0C89" w:rsidP="00296349">
            <w:pPr>
              <w:pStyle w:val="Tabletext"/>
            </w:pPr>
          </w:p>
        </w:tc>
        <w:tc>
          <w:tcPr>
            <w:tcW w:w="1851" w:type="dxa"/>
          </w:tcPr>
          <w:p w:rsidR="009E0C89" w:rsidRPr="00B73E10" w:rsidRDefault="009E0C89" w:rsidP="00802443">
            <w:pPr>
              <w:pStyle w:val="TableTextbold"/>
            </w:pPr>
            <w:r w:rsidRPr="00B73E10">
              <w:t>Vacant land register</w:t>
            </w:r>
          </w:p>
        </w:tc>
        <w:tc>
          <w:tcPr>
            <w:tcW w:w="1851" w:type="dxa"/>
          </w:tcPr>
          <w:p w:rsidR="009E0C89" w:rsidRPr="00B73E10" w:rsidRDefault="009E0C89" w:rsidP="00802443">
            <w:pPr>
              <w:pStyle w:val="TableTextbold"/>
            </w:pPr>
            <w:r w:rsidRPr="00B73E10">
              <w:t>Greenfield monitoring</w:t>
            </w:r>
          </w:p>
        </w:tc>
        <w:tc>
          <w:tcPr>
            <w:tcW w:w="1851" w:type="dxa"/>
          </w:tcPr>
          <w:p w:rsidR="009E0C89" w:rsidRPr="00B73E10" w:rsidRDefault="009E0C89" w:rsidP="00802443">
            <w:pPr>
              <w:pStyle w:val="TableTextbold"/>
            </w:pPr>
            <w:r>
              <w:t>M</w:t>
            </w:r>
            <w:r w:rsidRPr="00B73E10">
              <w:t>onitoring</w:t>
            </w:r>
            <w:r>
              <w:t xml:space="preserve"> in existing urban areas</w:t>
            </w:r>
          </w:p>
        </w:tc>
      </w:tr>
      <w:tr w:rsidR="009E0C89" w:rsidTr="001B431E">
        <w:tc>
          <w:tcPr>
            <w:tcW w:w="2660" w:type="dxa"/>
          </w:tcPr>
          <w:p w:rsidR="009E0C89" w:rsidRPr="00B73E10" w:rsidRDefault="009E0C89" w:rsidP="00296349">
            <w:pPr>
              <w:pStyle w:val="Tabletext"/>
            </w:pPr>
            <w:r w:rsidRPr="00B73E10">
              <w:t>Queenstown</w:t>
            </w:r>
          </w:p>
        </w:tc>
        <w:tc>
          <w:tcPr>
            <w:tcW w:w="1851" w:type="dxa"/>
          </w:tcPr>
          <w:p w:rsidR="009E0C89" w:rsidRPr="00B73E10" w:rsidRDefault="009E0C89" w:rsidP="00CF2B39">
            <w:pPr>
              <w:pStyle w:val="Tabletext"/>
              <w:numPr>
                <w:ilvl w:val="0"/>
                <w:numId w:val="30"/>
              </w:numPr>
              <w:jc w:val="center"/>
            </w:pPr>
          </w:p>
        </w:tc>
        <w:tc>
          <w:tcPr>
            <w:tcW w:w="1851" w:type="dxa"/>
          </w:tcPr>
          <w:p w:rsidR="009E0C89" w:rsidRPr="00B73E10" w:rsidRDefault="009E0C89" w:rsidP="00CF2B39">
            <w:pPr>
              <w:pStyle w:val="Tabletext"/>
              <w:numPr>
                <w:ilvl w:val="0"/>
                <w:numId w:val="30"/>
              </w:numPr>
              <w:jc w:val="center"/>
            </w:pPr>
          </w:p>
        </w:tc>
        <w:tc>
          <w:tcPr>
            <w:tcW w:w="1851" w:type="dxa"/>
          </w:tcPr>
          <w:p w:rsidR="009E0C89" w:rsidRPr="00B73E10" w:rsidRDefault="009E0C89" w:rsidP="00CF2B39">
            <w:pPr>
              <w:pStyle w:val="Tabletext"/>
              <w:numPr>
                <w:ilvl w:val="0"/>
                <w:numId w:val="30"/>
              </w:numPr>
              <w:jc w:val="center"/>
            </w:pPr>
          </w:p>
        </w:tc>
      </w:tr>
      <w:tr w:rsidR="009E0C89" w:rsidTr="001B431E">
        <w:tc>
          <w:tcPr>
            <w:tcW w:w="2660" w:type="dxa"/>
          </w:tcPr>
          <w:p w:rsidR="009E0C89" w:rsidRPr="00B73E10" w:rsidRDefault="009E0C89" w:rsidP="00296349">
            <w:pPr>
              <w:pStyle w:val="Tabletext"/>
            </w:pPr>
            <w:r w:rsidRPr="00B73E10">
              <w:t>Greater Christchurch</w:t>
            </w:r>
          </w:p>
        </w:tc>
        <w:tc>
          <w:tcPr>
            <w:tcW w:w="1851" w:type="dxa"/>
          </w:tcPr>
          <w:p w:rsidR="009E0C89" w:rsidRPr="00B73E10" w:rsidRDefault="009E0C89" w:rsidP="00CF2B39">
            <w:pPr>
              <w:pStyle w:val="Tabletext"/>
              <w:numPr>
                <w:ilvl w:val="0"/>
                <w:numId w:val="30"/>
              </w:numPr>
              <w:jc w:val="center"/>
            </w:pPr>
          </w:p>
        </w:tc>
        <w:tc>
          <w:tcPr>
            <w:tcW w:w="1851" w:type="dxa"/>
          </w:tcPr>
          <w:p w:rsidR="009E0C89" w:rsidRPr="00B73E10" w:rsidRDefault="009E0C89" w:rsidP="00CF2B39">
            <w:pPr>
              <w:pStyle w:val="Tabletext"/>
              <w:numPr>
                <w:ilvl w:val="0"/>
                <w:numId w:val="30"/>
              </w:numPr>
              <w:jc w:val="center"/>
            </w:pPr>
          </w:p>
        </w:tc>
        <w:tc>
          <w:tcPr>
            <w:tcW w:w="1851" w:type="dxa"/>
          </w:tcPr>
          <w:p w:rsidR="009E0C89" w:rsidRPr="00B73E10" w:rsidRDefault="009E0C89" w:rsidP="00CF2B39">
            <w:pPr>
              <w:pStyle w:val="Tabletext"/>
              <w:jc w:val="center"/>
            </w:pPr>
          </w:p>
        </w:tc>
      </w:tr>
      <w:tr w:rsidR="009E0C89" w:rsidTr="001B431E">
        <w:tc>
          <w:tcPr>
            <w:tcW w:w="2660" w:type="dxa"/>
          </w:tcPr>
          <w:p w:rsidR="009E0C89" w:rsidRPr="00B73E10" w:rsidRDefault="009E0C89" w:rsidP="00296349">
            <w:pPr>
              <w:pStyle w:val="Tabletext"/>
            </w:pPr>
            <w:r w:rsidRPr="00B73E10">
              <w:t xml:space="preserve">Christchurch City </w:t>
            </w:r>
          </w:p>
        </w:tc>
        <w:tc>
          <w:tcPr>
            <w:tcW w:w="1851" w:type="dxa"/>
          </w:tcPr>
          <w:p w:rsidR="009E0C89" w:rsidRPr="00B73E10" w:rsidRDefault="009E0C89" w:rsidP="00CF2B39">
            <w:pPr>
              <w:pStyle w:val="Tabletext"/>
              <w:numPr>
                <w:ilvl w:val="0"/>
                <w:numId w:val="30"/>
              </w:numPr>
              <w:jc w:val="center"/>
            </w:pPr>
          </w:p>
        </w:tc>
        <w:tc>
          <w:tcPr>
            <w:tcW w:w="1851" w:type="dxa"/>
          </w:tcPr>
          <w:p w:rsidR="009E0C89" w:rsidRPr="00B73E10" w:rsidRDefault="009E0C89" w:rsidP="00CF2B39">
            <w:pPr>
              <w:pStyle w:val="Tabletext"/>
              <w:numPr>
                <w:ilvl w:val="0"/>
                <w:numId w:val="30"/>
              </w:numPr>
              <w:jc w:val="center"/>
            </w:pPr>
          </w:p>
        </w:tc>
        <w:tc>
          <w:tcPr>
            <w:tcW w:w="1851" w:type="dxa"/>
          </w:tcPr>
          <w:p w:rsidR="009E0C89" w:rsidRPr="00B73E10" w:rsidRDefault="009E0C89" w:rsidP="00CF2B39">
            <w:pPr>
              <w:pStyle w:val="Tabletext"/>
              <w:numPr>
                <w:ilvl w:val="0"/>
                <w:numId w:val="30"/>
              </w:numPr>
              <w:jc w:val="center"/>
            </w:pPr>
          </w:p>
        </w:tc>
      </w:tr>
      <w:tr w:rsidR="009E0C89" w:rsidTr="001B431E">
        <w:tc>
          <w:tcPr>
            <w:tcW w:w="2660" w:type="dxa"/>
          </w:tcPr>
          <w:p w:rsidR="009E0C89" w:rsidRPr="00B73E10" w:rsidRDefault="009E0C89" w:rsidP="00296349">
            <w:pPr>
              <w:pStyle w:val="Tabletext"/>
            </w:pPr>
            <w:r w:rsidRPr="00B73E10">
              <w:t xml:space="preserve">Greater Wellington </w:t>
            </w:r>
          </w:p>
        </w:tc>
        <w:tc>
          <w:tcPr>
            <w:tcW w:w="1851" w:type="dxa"/>
          </w:tcPr>
          <w:p w:rsidR="009E0C89" w:rsidRPr="00B73E10" w:rsidRDefault="009E0C89" w:rsidP="00CF2B39">
            <w:pPr>
              <w:pStyle w:val="Tabletext"/>
              <w:jc w:val="center"/>
            </w:pPr>
          </w:p>
        </w:tc>
        <w:tc>
          <w:tcPr>
            <w:tcW w:w="1851" w:type="dxa"/>
          </w:tcPr>
          <w:p w:rsidR="009E0C89" w:rsidRPr="00B73E10" w:rsidRDefault="009E0C89" w:rsidP="00CF2B39">
            <w:pPr>
              <w:pStyle w:val="Tabletext"/>
              <w:jc w:val="center"/>
            </w:pPr>
          </w:p>
        </w:tc>
        <w:tc>
          <w:tcPr>
            <w:tcW w:w="1851" w:type="dxa"/>
          </w:tcPr>
          <w:p w:rsidR="009E0C89" w:rsidRPr="00B73E10" w:rsidRDefault="009E0C89" w:rsidP="00CF2B39">
            <w:pPr>
              <w:pStyle w:val="Tabletext"/>
              <w:jc w:val="center"/>
            </w:pPr>
          </w:p>
        </w:tc>
      </w:tr>
      <w:tr w:rsidR="009E0C89" w:rsidTr="001B431E">
        <w:tc>
          <w:tcPr>
            <w:tcW w:w="2660" w:type="dxa"/>
          </w:tcPr>
          <w:p w:rsidR="009E0C89" w:rsidRPr="00B73E10" w:rsidRDefault="009E0C89" w:rsidP="00296349">
            <w:pPr>
              <w:pStyle w:val="Tabletext"/>
            </w:pPr>
            <w:r w:rsidRPr="00B73E10">
              <w:t>Wellington City</w:t>
            </w:r>
          </w:p>
        </w:tc>
        <w:tc>
          <w:tcPr>
            <w:tcW w:w="1851" w:type="dxa"/>
          </w:tcPr>
          <w:p w:rsidR="009E0C89" w:rsidRPr="00B73E10" w:rsidRDefault="009E0C89" w:rsidP="00CF2B39">
            <w:pPr>
              <w:pStyle w:val="Tabletext"/>
              <w:jc w:val="center"/>
            </w:pPr>
          </w:p>
        </w:tc>
        <w:tc>
          <w:tcPr>
            <w:tcW w:w="1851" w:type="dxa"/>
          </w:tcPr>
          <w:p w:rsidR="009E0C89" w:rsidRPr="00B73E10" w:rsidRDefault="009E0C89" w:rsidP="00CF2B39">
            <w:pPr>
              <w:pStyle w:val="Tabletext"/>
              <w:numPr>
                <w:ilvl w:val="0"/>
                <w:numId w:val="30"/>
              </w:numPr>
              <w:jc w:val="center"/>
            </w:pPr>
          </w:p>
        </w:tc>
        <w:tc>
          <w:tcPr>
            <w:tcW w:w="1851" w:type="dxa"/>
          </w:tcPr>
          <w:p w:rsidR="009E0C89" w:rsidRPr="00B73E10" w:rsidRDefault="009E0C89" w:rsidP="00CF2B39">
            <w:pPr>
              <w:pStyle w:val="Tabletext"/>
              <w:numPr>
                <w:ilvl w:val="0"/>
                <w:numId w:val="30"/>
              </w:numPr>
              <w:jc w:val="center"/>
            </w:pPr>
          </w:p>
        </w:tc>
      </w:tr>
      <w:tr w:rsidR="009E0C89" w:rsidTr="001B431E">
        <w:tc>
          <w:tcPr>
            <w:tcW w:w="2660" w:type="dxa"/>
          </w:tcPr>
          <w:p w:rsidR="009E0C89" w:rsidRPr="00B73E10" w:rsidRDefault="009E0C89" w:rsidP="00296349">
            <w:pPr>
              <w:pStyle w:val="Tabletext"/>
            </w:pPr>
            <w:r w:rsidRPr="00B73E10">
              <w:t>Hamilton City</w:t>
            </w:r>
          </w:p>
        </w:tc>
        <w:tc>
          <w:tcPr>
            <w:tcW w:w="1851" w:type="dxa"/>
          </w:tcPr>
          <w:p w:rsidR="009E0C89" w:rsidRPr="00B73E10" w:rsidRDefault="009E0C89" w:rsidP="00CF2B39">
            <w:pPr>
              <w:pStyle w:val="Tabletext"/>
              <w:numPr>
                <w:ilvl w:val="0"/>
                <w:numId w:val="30"/>
              </w:numPr>
              <w:jc w:val="center"/>
            </w:pPr>
          </w:p>
        </w:tc>
        <w:tc>
          <w:tcPr>
            <w:tcW w:w="1851" w:type="dxa"/>
          </w:tcPr>
          <w:p w:rsidR="009E0C89" w:rsidRPr="00B73E10" w:rsidRDefault="009E0C89" w:rsidP="00CF2B39">
            <w:pPr>
              <w:pStyle w:val="Tabletext"/>
              <w:numPr>
                <w:ilvl w:val="0"/>
                <w:numId w:val="30"/>
              </w:numPr>
              <w:jc w:val="center"/>
            </w:pPr>
          </w:p>
        </w:tc>
        <w:tc>
          <w:tcPr>
            <w:tcW w:w="1851" w:type="dxa"/>
          </w:tcPr>
          <w:p w:rsidR="009E0C89" w:rsidRPr="00B73E10" w:rsidRDefault="009E0C89" w:rsidP="00CF2B39">
            <w:pPr>
              <w:pStyle w:val="Tabletext"/>
              <w:numPr>
                <w:ilvl w:val="0"/>
                <w:numId w:val="30"/>
              </w:numPr>
              <w:jc w:val="center"/>
            </w:pPr>
          </w:p>
        </w:tc>
      </w:tr>
      <w:tr w:rsidR="009E0C89" w:rsidTr="001B431E">
        <w:tc>
          <w:tcPr>
            <w:tcW w:w="2660" w:type="dxa"/>
          </w:tcPr>
          <w:p w:rsidR="009E0C89" w:rsidRPr="00B73E10" w:rsidRDefault="009E0C89" w:rsidP="00296349">
            <w:pPr>
              <w:pStyle w:val="Tabletext"/>
            </w:pPr>
            <w:r w:rsidRPr="00B73E10">
              <w:t>Tauranga City</w:t>
            </w:r>
          </w:p>
        </w:tc>
        <w:tc>
          <w:tcPr>
            <w:tcW w:w="1851" w:type="dxa"/>
          </w:tcPr>
          <w:p w:rsidR="009E0C89" w:rsidRPr="00B73E10" w:rsidRDefault="009E0C89" w:rsidP="00CF2B39">
            <w:pPr>
              <w:pStyle w:val="Tabletext"/>
              <w:numPr>
                <w:ilvl w:val="0"/>
                <w:numId w:val="30"/>
              </w:numPr>
              <w:jc w:val="center"/>
            </w:pPr>
          </w:p>
        </w:tc>
        <w:tc>
          <w:tcPr>
            <w:tcW w:w="1851" w:type="dxa"/>
          </w:tcPr>
          <w:p w:rsidR="009E0C89" w:rsidRPr="00B73E10" w:rsidRDefault="009E0C89" w:rsidP="00CF2B39">
            <w:pPr>
              <w:pStyle w:val="Tabletext"/>
              <w:numPr>
                <w:ilvl w:val="0"/>
                <w:numId w:val="30"/>
              </w:numPr>
              <w:jc w:val="center"/>
            </w:pPr>
          </w:p>
        </w:tc>
        <w:tc>
          <w:tcPr>
            <w:tcW w:w="1851" w:type="dxa"/>
          </w:tcPr>
          <w:p w:rsidR="009E0C89" w:rsidRPr="00B73E10" w:rsidRDefault="009E0C89" w:rsidP="00CF2B39">
            <w:pPr>
              <w:pStyle w:val="Tabletext"/>
              <w:numPr>
                <w:ilvl w:val="0"/>
                <w:numId w:val="30"/>
              </w:numPr>
              <w:jc w:val="center"/>
            </w:pPr>
          </w:p>
        </w:tc>
      </w:tr>
      <w:tr w:rsidR="009E0C89" w:rsidTr="001B431E">
        <w:tc>
          <w:tcPr>
            <w:tcW w:w="2660" w:type="dxa"/>
          </w:tcPr>
          <w:p w:rsidR="009E0C89" w:rsidRPr="00B73E10" w:rsidRDefault="009E0C89" w:rsidP="00296349">
            <w:pPr>
              <w:pStyle w:val="Tabletext"/>
            </w:pPr>
            <w:r w:rsidRPr="00B73E10">
              <w:t>Auckland Council</w:t>
            </w:r>
          </w:p>
        </w:tc>
        <w:tc>
          <w:tcPr>
            <w:tcW w:w="1851" w:type="dxa"/>
          </w:tcPr>
          <w:p w:rsidR="009E0C89" w:rsidRPr="00B73E10" w:rsidRDefault="009E0C89" w:rsidP="00CF2B39">
            <w:pPr>
              <w:pStyle w:val="Tabletext"/>
              <w:numPr>
                <w:ilvl w:val="0"/>
                <w:numId w:val="30"/>
              </w:numPr>
              <w:jc w:val="center"/>
            </w:pPr>
          </w:p>
        </w:tc>
        <w:tc>
          <w:tcPr>
            <w:tcW w:w="1851" w:type="dxa"/>
          </w:tcPr>
          <w:p w:rsidR="009E0C89" w:rsidRPr="00B73E10" w:rsidRDefault="009E0C89" w:rsidP="00CF2B39">
            <w:pPr>
              <w:pStyle w:val="Tabletext"/>
              <w:numPr>
                <w:ilvl w:val="0"/>
                <w:numId w:val="30"/>
              </w:numPr>
              <w:jc w:val="center"/>
            </w:pPr>
          </w:p>
        </w:tc>
        <w:tc>
          <w:tcPr>
            <w:tcW w:w="1851" w:type="dxa"/>
          </w:tcPr>
          <w:p w:rsidR="009E0C89" w:rsidRPr="00B73E10" w:rsidRDefault="009E0C89" w:rsidP="00CF2B39">
            <w:pPr>
              <w:pStyle w:val="Tabletext"/>
              <w:numPr>
                <w:ilvl w:val="0"/>
                <w:numId w:val="30"/>
              </w:numPr>
              <w:jc w:val="center"/>
            </w:pPr>
          </w:p>
        </w:tc>
      </w:tr>
      <w:tr w:rsidR="009E0C89" w:rsidTr="001B431E">
        <w:tc>
          <w:tcPr>
            <w:tcW w:w="2660" w:type="dxa"/>
          </w:tcPr>
          <w:p w:rsidR="009E0C89" w:rsidRPr="00B73E10" w:rsidRDefault="009E0C89" w:rsidP="00296349">
            <w:pPr>
              <w:pStyle w:val="Tabletext"/>
            </w:pPr>
            <w:r w:rsidRPr="00B73E10">
              <w:t xml:space="preserve">Selwyn District </w:t>
            </w:r>
          </w:p>
        </w:tc>
        <w:tc>
          <w:tcPr>
            <w:tcW w:w="1851" w:type="dxa"/>
          </w:tcPr>
          <w:p w:rsidR="009E0C89" w:rsidRPr="00B73E10" w:rsidRDefault="009E0C89" w:rsidP="00CF2B39">
            <w:pPr>
              <w:pStyle w:val="Tabletext"/>
              <w:numPr>
                <w:ilvl w:val="0"/>
                <w:numId w:val="30"/>
              </w:numPr>
              <w:jc w:val="center"/>
            </w:pPr>
          </w:p>
        </w:tc>
        <w:tc>
          <w:tcPr>
            <w:tcW w:w="1851" w:type="dxa"/>
          </w:tcPr>
          <w:p w:rsidR="009E0C89" w:rsidRPr="00B73E10" w:rsidRDefault="009E0C89" w:rsidP="00CF2B39">
            <w:pPr>
              <w:pStyle w:val="Tabletext"/>
              <w:numPr>
                <w:ilvl w:val="0"/>
                <w:numId w:val="30"/>
              </w:numPr>
              <w:jc w:val="center"/>
            </w:pPr>
          </w:p>
        </w:tc>
        <w:tc>
          <w:tcPr>
            <w:tcW w:w="1851" w:type="dxa"/>
          </w:tcPr>
          <w:p w:rsidR="009E0C89" w:rsidRPr="00B73E10" w:rsidRDefault="009E0C89" w:rsidP="00CF2B39">
            <w:pPr>
              <w:pStyle w:val="Tabletext"/>
              <w:jc w:val="center"/>
            </w:pPr>
          </w:p>
        </w:tc>
      </w:tr>
    </w:tbl>
    <w:p w:rsidR="009E0C89" w:rsidRPr="00617A42" w:rsidRDefault="009E0C89" w:rsidP="00617A42">
      <w:pPr>
        <w:pStyle w:val="BodyText"/>
      </w:pPr>
    </w:p>
    <w:p w:rsidR="009E0C89" w:rsidRPr="00294432" w:rsidRDefault="009E0C89" w:rsidP="00802443">
      <w:pPr>
        <w:pStyle w:val="Tableheading"/>
        <w:rPr>
          <w:color w:val="000000" w:themeColor="text1"/>
          <w:sz w:val="18"/>
        </w:rPr>
      </w:pPr>
      <w:r w:rsidRPr="00294432">
        <w:t xml:space="preserve">Table </w:t>
      </w:r>
      <w:r>
        <w:rPr>
          <w:noProof/>
        </w:rPr>
        <w:t>5</w:t>
      </w:r>
      <w:r w:rsidRPr="00294432">
        <w:t xml:space="preserve">: </w:t>
      </w:r>
      <w:r>
        <w:t>R</w:t>
      </w:r>
      <w:r w:rsidRPr="00294432">
        <w:t xml:space="preserve">esidential </w:t>
      </w:r>
      <w:r>
        <w:t xml:space="preserve">market activity monitoring </w:t>
      </w:r>
    </w:p>
    <w:tbl>
      <w:tblPr>
        <w:tblStyle w:val="TableGrid"/>
        <w:tblW w:w="8214" w:type="dxa"/>
        <w:tblBorders>
          <w:top w:val="single" w:sz="4" w:space="0" w:color="677719"/>
          <w:left w:val="none" w:sz="0" w:space="0" w:color="auto"/>
          <w:bottom w:val="single" w:sz="4" w:space="0" w:color="677719"/>
          <w:right w:val="none" w:sz="0" w:space="0" w:color="auto"/>
          <w:insideH w:val="single" w:sz="4" w:space="0" w:color="677719"/>
          <w:insideV w:val="single" w:sz="4" w:space="0" w:color="677719"/>
        </w:tblBorders>
        <w:tblLook w:val="04A0" w:firstRow="1" w:lastRow="0" w:firstColumn="1" w:lastColumn="0" w:noHBand="0" w:noVBand="1"/>
      </w:tblPr>
      <w:tblGrid>
        <w:gridCol w:w="2660"/>
        <w:gridCol w:w="2694"/>
        <w:gridCol w:w="2860"/>
      </w:tblGrid>
      <w:tr w:rsidR="009E0C89" w:rsidTr="001B431E">
        <w:tc>
          <w:tcPr>
            <w:tcW w:w="2660" w:type="dxa"/>
          </w:tcPr>
          <w:p w:rsidR="009E0C89" w:rsidRPr="00B73E10" w:rsidRDefault="009E0C89" w:rsidP="00802443">
            <w:pPr>
              <w:pStyle w:val="Tabletext"/>
            </w:pPr>
          </w:p>
        </w:tc>
        <w:tc>
          <w:tcPr>
            <w:tcW w:w="5554" w:type="dxa"/>
            <w:gridSpan w:val="2"/>
          </w:tcPr>
          <w:p w:rsidR="009E0C89" w:rsidRPr="00B73E10" w:rsidRDefault="009E0C89" w:rsidP="00802443">
            <w:pPr>
              <w:pStyle w:val="TableTextbold"/>
            </w:pPr>
            <w:r w:rsidRPr="00B73E10">
              <w:t xml:space="preserve">Monitoring of residential </w:t>
            </w:r>
            <w:r>
              <w:t>consents</w:t>
            </w:r>
          </w:p>
        </w:tc>
      </w:tr>
      <w:tr w:rsidR="009E0C89" w:rsidTr="001B431E">
        <w:tc>
          <w:tcPr>
            <w:tcW w:w="2660" w:type="dxa"/>
          </w:tcPr>
          <w:p w:rsidR="009E0C89" w:rsidRPr="00B73E10" w:rsidRDefault="009E0C89" w:rsidP="00802443">
            <w:pPr>
              <w:pStyle w:val="Tabletext"/>
            </w:pPr>
          </w:p>
        </w:tc>
        <w:tc>
          <w:tcPr>
            <w:tcW w:w="2694" w:type="dxa"/>
          </w:tcPr>
          <w:p w:rsidR="009E0C89" w:rsidRPr="00B73E10" w:rsidRDefault="009E0C89" w:rsidP="00802443">
            <w:pPr>
              <w:pStyle w:val="TableTextbold"/>
            </w:pPr>
            <w:r w:rsidRPr="00B73E10">
              <w:t xml:space="preserve">Resource consents granted </w:t>
            </w:r>
          </w:p>
        </w:tc>
        <w:tc>
          <w:tcPr>
            <w:tcW w:w="2860" w:type="dxa"/>
          </w:tcPr>
          <w:p w:rsidR="009E0C89" w:rsidRPr="00B73E10" w:rsidRDefault="009E0C89" w:rsidP="00802443">
            <w:pPr>
              <w:pStyle w:val="TableTextbold"/>
            </w:pPr>
            <w:r w:rsidRPr="00B73E10">
              <w:t xml:space="preserve">Building consents granted </w:t>
            </w:r>
          </w:p>
        </w:tc>
      </w:tr>
      <w:tr w:rsidR="009E0C89" w:rsidTr="001B431E">
        <w:trPr>
          <w:trHeight w:val="54"/>
        </w:trPr>
        <w:tc>
          <w:tcPr>
            <w:tcW w:w="2660" w:type="dxa"/>
          </w:tcPr>
          <w:p w:rsidR="009E0C89" w:rsidRPr="00B73E10" w:rsidRDefault="009E0C89" w:rsidP="00802443">
            <w:pPr>
              <w:pStyle w:val="Tabletext"/>
            </w:pPr>
            <w:r w:rsidRPr="00B73E10">
              <w:t>Queenstown</w:t>
            </w:r>
          </w:p>
        </w:tc>
        <w:tc>
          <w:tcPr>
            <w:tcW w:w="2694" w:type="dxa"/>
          </w:tcPr>
          <w:p w:rsidR="009E0C89" w:rsidRPr="00B73E10" w:rsidRDefault="009E0C89" w:rsidP="00CF2B39">
            <w:pPr>
              <w:pStyle w:val="Tabletext"/>
              <w:numPr>
                <w:ilvl w:val="0"/>
                <w:numId w:val="30"/>
              </w:numPr>
              <w:jc w:val="center"/>
            </w:pPr>
          </w:p>
        </w:tc>
        <w:tc>
          <w:tcPr>
            <w:tcW w:w="2860" w:type="dxa"/>
          </w:tcPr>
          <w:p w:rsidR="009E0C89" w:rsidRPr="00B73E10" w:rsidRDefault="009E0C89" w:rsidP="00CF2B39">
            <w:pPr>
              <w:pStyle w:val="Tabletext"/>
              <w:numPr>
                <w:ilvl w:val="0"/>
                <w:numId w:val="30"/>
              </w:numPr>
              <w:jc w:val="center"/>
            </w:pPr>
          </w:p>
        </w:tc>
      </w:tr>
      <w:tr w:rsidR="009E0C89" w:rsidTr="001B431E">
        <w:tc>
          <w:tcPr>
            <w:tcW w:w="2660" w:type="dxa"/>
          </w:tcPr>
          <w:p w:rsidR="009E0C89" w:rsidRPr="00B73E10" w:rsidRDefault="009E0C89" w:rsidP="00802443">
            <w:pPr>
              <w:pStyle w:val="Tabletext"/>
            </w:pPr>
            <w:r w:rsidRPr="00B73E10">
              <w:t>Greater Christchurch</w:t>
            </w:r>
          </w:p>
        </w:tc>
        <w:tc>
          <w:tcPr>
            <w:tcW w:w="2694" w:type="dxa"/>
          </w:tcPr>
          <w:p w:rsidR="009E0C89" w:rsidRPr="00B73E10" w:rsidRDefault="009E0C89" w:rsidP="00CF2B39">
            <w:pPr>
              <w:pStyle w:val="Tabletext"/>
              <w:numPr>
                <w:ilvl w:val="0"/>
                <w:numId w:val="30"/>
              </w:numPr>
              <w:jc w:val="center"/>
            </w:pPr>
          </w:p>
        </w:tc>
        <w:tc>
          <w:tcPr>
            <w:tcW w:w="2860" w:type="dxa"/>
          </w:tcPr>
          <w:p w:rsidR="009E0C89" w:rsidRPr="00B73E10" w:rsidRDefault="009E0C89" w:rsidP="00802443">
            <w:pPr>
              <w:pStyle w:val="Tabletext"/>
            </w:pPr>
          </w:p>
        </w:tc>
      </w:tr>
      <w:tr w:rsidR="009E0C89" w:rsidTr="001B431E">
        <w:tc>
          <w:tcPr>
            <w:tcW w:w="2660" w:type="dxa"/>
          </w:tcPr>
          <w:p w:rsidR="009E0C89" w:rsidRPr="00B73E10" w:rsidRDefault="009E0C89" w:rsidP="00802443">
            <w:pPr>
              <w:pStyle w:val="Tabletext"/>
            </w:pPr>
            <w:r w:rsidRPr="00B73E10">
              <w:t xml:space="preserve">Christchurch City </w:t>
            </w:r>
          </w:p>
        </w:tc>
        <w:tc>
          <w:tcPr>
            <w:tcW w:w="2694" w:type="dxa"/>
          </w:tcPr>
          <w:p w:rsidR="009E0C89" w:rsidRPr="00B73E10" w:rsidRDefault="009E0C89" w:rsidP="00CF2B39">
            <w:pPr>
              <w:pStyle w:val="Tabletext"/>
              <w:numPr>
                <w:ilvl w:val="0"/>
                <w:numId w:val="30"/>
              </w:numPr>
              <w:jc w:val="center"/>
            </w:pPr>
          </w:p>
        </w:tc>
        <w:tc>
          <w:tcPr>
            <w:tcW w:w="2860" w:type="dxa"/>
          </w:tcPr>
          <w:p w:rsidR="009E0C89" w:rsidRPr="00B73E10" w:rsidRDefault="009E0C89" w:rsidP="00CF2B39">
            <w:pPr>
              <w:pStyle w:val="Tabletext"/>
              <w:numPr>
                <w:ilvl w:val="0"/>
                <w:numId w:val="30"/>
              </w:numPr>
              <w:jc w:val="center"/>
            </w:pPr>
          </w:p>
        </w:tc>
      </w:tr>
      <w:tr w:rsidR="009E0C89" w:rsidTr="001B431E">
        <w:tc>
          <w:tcPr>
            <w:tcW w:w="2660" w:type="dxa"/>
          </w:tcPr>
          <w:p w:rsidR="009E0C89" w:rsidRPr="00B73E10" w:rsidRDefault="009E0C89" w:rsidP="00802443">
            <w:pPr>
              <w:pStyle w:val="Tabletext"/>
            </w:pPr>
            <w:r w:rsidRPr="00B73E10">
              <w:t xml:space="preserve">Greater Wellington </w:t>
            </w:r>
          </w:p>
        </w:tc>
        <w:tc>
          <w:tcPr>
            <w:tcW w:w="2694" w:type="dxa"/>
          </w:tcPr>
          <w:p w:rsidR="009E0C89" w:rsidRPr="00B73E10" w:rsidRDefault="009E0C89" w:rsidP="00802443">
            <w:pPr>
              <w:pStyle w:val="Tabletext"/>
            </w:pPr>
          </w:p>
        </w:tc>
        <w:tc>
          <w:tcPr>
            <w:tcW w:w="2860" w:type="dxa"/>
          </w:tcPr>
          <w:p w:rsidR="009E0C89" w:rsidRPr="00B73E10" w:rsidRDefault="009E0C89" w:rsidP="00802443">
            <w:pPr>
              <w:pStyle w:val="Tabletext"/>
            </w:pPr>
          </w:p>
        </w:tc>
      </w:tr>
      <w:tr w:rsidR="009E0C89" w:rsidTr="001B431E">
        <w:tc>
          <w:tcPr>
            <w:tcW w:w="2660" w:type="dxa"/>
          </w:tcPr>
          <w:p w:rsidR="009E0C89" w:rsidRPr="00B73E10" w:rsidRDefault="009E0C89" w:rsidP="00802443">
            <w:pPr>
              <w:pStyle w:val="Tabletext"/>
            </w:pPr>
            <w:r w:rsidRPr="00B73E10">
              <w:t>Wellington City</w:t>
            </w:r>
          </w:p>
        </w:tc>
        <w:tc>
          <w:tcPr>
            <w:tcW w:w="2694" w:type="dxa"/>
          </w:tcPr>
          <w:p w:rsidR="009E0C89" w:rsidRPr="00B73E10" w:rsidRDefault="009E0C89" w:rsidP="00CF2B39">
            <w:pPr>
              <w:pStyle w:val="Tabletext"/>
              <w:numPr>
                <w:ilvl w:val="0"/>
                <w:numId w:val="30"/>
              </w:numPr>
              <w:jc w:val="center"/>
            </w:pPr>
          </w:p>
        </w:tc>
        <w:tc>
          <w:tcPr>
            <w:tcW w:w="2860" w:type="dxa"/>
          </w:tcPr>
          <w:p w:rsidR="009E0C89" w:rsidRPr="00B73E10" w:rsidRDefault="009E0C89" w:rsidP="00802443">
            <w:pPr>
              <w:pStyle w:val="Tabletext"/>
            </w:pPr>
          </w:p>
        </w:tc>
      </w:tr>
      <w:tr w:rsidR="009E0C89" w:rsidTr="001B431E">
        <w:tc>
          <w:tcPr>
            <w:tcW w:w="2660" w:type="dxa"/>
          </w:tcPr>
          <w:p w:rsidR="009E0C89" w:rsidRPr="00B73E10" w:rsidRDefault="009E0C89" w:rsidP="00802443">
            <w:pPr>
              <w:pStyle w:val="Tabletext"/>
            </w:pPr>
            <w:r w:rsidRPr="00B73E10">
              <w:t>Hamilton City</w:t>
            </w:r>
          </w:p>
        </w:tc>
        <w:tc>
          <w:tcPr>
            <w:tcW w:w="2694" w:type="dxa"/>
          </w:tcPr>
          <w:p w:rsidR="009E0C89" w:rsidRPr="00B73E10" w:rsidRDefault="009E0C89" w:rsidP="00CF2B39">
            <w:pPr>
              <w:pStyle w:val="Tabletext"/>
              <w:numPr>
                <w:ilvl w:val="0"/>
                <w:numId w:val="30"/>
              </w:numPr>
              <w:jc w:val="center"/>
            </w:pPr>
          </w:p>
        </w:tc>
        <w:tc>
          <w:tcPr>
            <w:tcW w:w="2860" w:type="dxa"/>
          </w:tcPr>
          <w:p w:rsidR="009E0C89" w:rsidRPr="00B73E10" w:rsidRDefault="009E0C89" w:rsidP="00CF2B39">
            <w:pPr>
              <w:pStyle w:val="Tabletext"/>
              <w:numPr>
                <w:ilvl w:val="0"/>
                <w:numId w:val="30"/>
              </w:numPr>
              <w:jc w:val="center"/>
            </w:pPr>
          </w:p>
        </w:tc>
      </w:tr>
      <w:tr w:rsidR="009E0C89" w:rsidTr="001B431E">
        <w:tc>
          <w:tcPr>
            <w:tcW w:w="2660" w:type="dxa"/>
          </w:tcPr>
          <w:p w:rsidR="009E0C89" w:rsidRPr="00B73E10" w:rsidRDefault="009E0C89" w:rsidP="00802443">
            <w:pPr>
              <w:pStyle w:val="Tabletext"/>
            </w:pPr>
            <w:r w:rsidRPr="00B73E10">
              <w:t>Tauranga City</w:t>
            </w:r>
          </w:p>
        </w:tc>
        <w:tc>
          <w:tcPr>
            <w:tcW w:w="2694" w:type="dxa"/>
          </w:tcPr>
          <w:p w:rsidR="009E0C89" w:rsidRPr="00B73E10" w:rsidRDefault="009E0C89" w:rsidP="00CF2B39">
            <w:pPr>
              <w:pStyle w:val="Tabletext"/>
              <w:numPr>
                <w:ilvl w:val="0"/>
                <w:numId w:val="30"/>
              </w:numPr>
              <w:jc w:val="center"/>
            </w:pPr>
          </w:p>
        </w:tc>
        <w:tc>
          <w:tcPr>
            <w:tcW w:w="2860" w:type="dxa"/>
          </w:tcPr>
          <w:p w:rsidR="009E0C89" w:rsidRPr="00B73E10" w:rsidRDefault="009E0C89" w:rsidP="00CF2B39">
            <w:pPr>
              <w:pStyle w:val="Tabletext"/>
              <w:numPr>
                <w:ilvl w:val="0"/>
                <w:numId w:val="30"/>
              </w:numPr>
              <w:jc w:val="center"/>
            </w:pPr>
          </w:p>
        </w:tc>
      </w:tr>
      <w:tr w:rsidR="009E0C89" w:rsidTr="001B431E">
        <w:tc>
          <w:tcPr>
            <w:tcW w:w="2660" w:type="dxa"/>
          </w:tcPr>
          <w:p w:rsidR="009E0C89" w:rsidRPr="00B73E10" w:rsidRDefault="009E0C89" w:rsidP="00802443">
            <w:pPr>
              <w:pStyle w:val="Tabletext"/>
            </w:pPr>
            <w:r w:rsidRPr="00B73E10">
              <w:t>Auckland Council</w:t>
            </w:r>
          </w:p>
        </w:tc>
        <w:tc>
          <w:tcPr>
            <w:tcW w:w="2694" w:type="dxa"/>
          </w:tcPr>
          <w:p w:rsidR="009E0C89" w:rsidRPr="00B73E10" w:rsidRDefault="009E0C89" w:rsidP="00CF2B39">
            <w:pPr>
              <w:pStyle w:val="Tabletext"/>
              <w:numPr>
                <w:ilvl w:val="0"/>
                <w:numId w:val="30"/>
              </w:numPr>
              <w:jc w:val="center"/>
            </w:pPr>
          </w:p>
        </w:tc>
        <w:tc>
          <w:tcPr>
            <w:tcW w:w="2860" w:type="dxa"/>
          </w:tcPr>
          <w:p w:rsidR="009E0C89" w:rsidRPr="00B73E10" w:rsidRDefault="009E0C89" w:rsidP="00CF2B39">
            <w:pPr>
              <w:pStyle w:val="Tabletext"/>
              <w:numPr>
                <w:ilvl w:val="0"/>
                <w:numId w:val="30"/>
              </w:numPr>
              <w:jc w:val="center"/>
            </w:pPr>
          </w:p>
        </w:tc>
      </w:tr>
      <w:tr w:rsidR="009E0C89" w:rsidTr="001B431E">
        <w:trPr>
          <w:trHeight w:val="47"/>
        </w:trPr>
        <w:tc>
          <w:tcPr>
            <w:tcW w:w="2660" w:type="dxa"/>
          </w:tcPr>
          <w:p w:rsidR="009E0C89" w:rsidRPr="00B73E10" w:rsidRDefault="009E0C89" w:rsidP="00802443">
            <w:pPr>
              <w:pStyle w:val="Tabletext"/>
            </w:pPr>
            <w:r w:rsidRPr="00B73E10">
              <w:t xml:space="preserve">Selwyn District </w:t>
            </w:r>
          </w:p>
        </w:tc>
        <w:tc>
          <w:tcPr>
            <w:tcW w:w="2694" w:type="dxa"/>
          </w:tcPr>
          <w:p w:rsidR="009E0C89" w:rsidRPr="00B73E10" w:rsidRDefault="009E0C89" w:rsidP="00CF2B39">
            <w:pPr>
              <w:pStyle w:val="Tabletext"/>
              <w:numPr>
                <w:ilvl w:val="0"/>
                <w:numId w:val="30"/>
              </w:numPr>
              <w:jc w:val="center"/>
            </w:pPr>
          </w:p>
        </w:tc>
        <w:tc>
          <w:tcPr>
            <w:tcW w:w="2860" w:type="dxa"/>
          </w:tcPr>
          <w:p w:rsidR="009E0C89" w:rsidRPr="00B73E10" w:rsidRDefault="009E0C89" w:rsidP="00802443">
            <w:pPr>
              <w:pStyle w:val="Tabletext"/>
            </w:pPr>
          </w:p>
        </w:tc>
      </w:tr>
    </w:tbl>
    <w:p w:rsidR="009E0C89" w:rsidRPr="00476B33" w:rsidRDefault="009E0C89" w:rsidP="00617A42">
      <w:pPr>
        <w:pStyle w:val="BodyText"/>
      </w:pPr>
      <w:r w:rsidRPr="00476B33">
        <w:t xml:space="preserve">Most council participants applied practical, reasonably simplistic monitoring of available </w:t>
      </w:r>
      <w:proofErr w:type="gramStart"/>
      <w:r w:rsidRPr="00476B33">
        <w:t>greenfield</w:t>
      </w:r>
      <w:proofErr w:type="gramEnd"/>
      <w:r w:rsidRPr="00476B33">
        <w:t xml:space="preserve"> residential development capacity. Only Auckland, Queenstown Lakes</w:t>
      </w:r>
      <w:r>
        <w:t xml:space="preserve"> District</w:t>
      </w:r>
      <w:r w:rsidRPr="00476B33">
        <w:t xml:space="preserve"> and Tauranga City currently monitor available residential development capacity</w:t>
      </w:r>
      <w:r>
        <w:t xml:space="preserve"> in existing urban areas</w:t>
      </w:r>
      <w:r w:rsidRPr="00476B33">
        <w:t xml:space="preserve">. </w:t>
      </w:r>
      <w:r w:rsidRPr="00597438">
        <w:t>Hamilton City does not have a regular programme of monitoring residential capacity</w:t>
      </w:r>
      <w:r>
        <w:t xml:space="preserve"> in existing urban areas</w:t>
      </w:r>
      <w:r w:rsidRPr="00597438">
        <w:t>, but has monitored this on an ad hoc basis in recent years.</w:t>
      </w:r>
      <w:r>
        <w:t xml:space="preserve"> Similarly,</w:t>
      </w:r>
      <w:r w:rsidRPr="00597438">
        <w:t> </w:t>
      </w:r>
      <w:r>
        <w:t>Christchurch City has historically monitored housing activity in existing urban areas.</w:t>
      </w:r>
    </w:p>
    <w:p w:rsidR="009E0C89" w:rsidRPr="00476B33" w:rsidRDefault="009E0C89" w:rsidP="00617A42">
      <w:pPr>
        <w:pStyle w:val="BodyText"/>
      </w:pPr>
      <w:r w:rsidRPr="00476B33">
        <w:t xml:space="preserve">Most of the councils surveyed maintain a vacant land register </w:t>
      </w:r>
      <w:r>
        <w:t>that</w:t>
      </w:r>
      <w:r w:rsidRPr="00476B33">
        <w:t xml:space="preserve"> is based on the relevant GIS system. The most common way of tracking the absorption of vacant land </w:t>
      </w:r>
      <w:r>
        <w:t>i</w:t>
      </w:r>
      <w:r w:rsidRPr="00476B33">
        <w:t xml:space="preserve">s to </w:t>
      </w:r>
      <w:r>
        <w:t>use</w:t>
      </w:r>
      <w:r w:rsidRPr="00476B33">
        <w:t xml:space="preserve"> new residential resource consents</w:t>
      </w:r>
      <w:r>
        <w:t xml:space="preserve"> to remove land from the vacant land register</w:t>
      </w:r>
      <w:r w:rsidRPr="00476B33">
        <w:t xml:space="preserve"> rather than building consents</w:t>
      </w:r>
      <w:r w:rsidRPr="00893705">
        <w:rPr>
          <w:vertAlign w:val="superscript"/>
        </w:rPr>
        <w:footnoteReference w:id="13"/>
      </w:r>
      <w:r w:rsidRPr="00476B33">
        <w:t xml:space="preserve">. </w:t>
      </w:r>
      <w:r>
        <w:t>Christchurch City is the exception; it uses building consents issued to remove land from their vacant land register. If the consent has not been acted on over a period of time, the land will be returned to the register. M</w:t>
      </w:r>
      <w:r w:rsidRPr="00476B33">
        <w:t xml:space="preserve">ost </w:t>
      </w:r>
      <w:r>
        <w:t xml:space="preserve">other </w:t>
      </w:r>
      <w:r w:rsidRPr="00476B33">
        <w:t xml:space="preserve">councils did not appear to follow up on whether the consent was actioned </w:t>
      </w:r>
      <w:r w:rsidR="00AF084F">
        <w:t>before</w:t>
      </w:r>
      <w:r w:rsidRPr="00476B33">
        <w:t xml:space="preserve"> removing the site from their vacant land register</w:t>
      </w:r>
      <w:r>
        <w:t>, however</w:t>
      </w:r>
      <w:r w:rsidRPr="00476B33">
        <w:t>. T</w:t>
      </w:r>
      <w:r>
        <w:t>auranga City</w:t>
      </w:r>
      <w:r w:rsidRPr="00476B33">
        <w:t xml:space="preserve"> also produces an annual report that looks at how much ‘infill’ capacity has been taken up and provides an estimate of remaining residential capacity. This data is used to inform the spatial allocation of future infill growth.</w:t>
      </w:r>
      <w:r>
        <w:t xml:space="preserve"> </w:t>
      </w:r>
      <w:r w:rsidRPr="00476B33">
        <w:t xml:space="preserve">All of the councils surveyed </w:t>
      </w:r>
      <w:r>
        <w:t xml:space="preserve">devoted less resources to </w:t>
      </w:r>
      <w:r w:rsidRPr="00476B33">
        <w:t xml:space="preserve">monitoring residential development capacity and market activity than </w:t>
      </w:r>
      <w:r>
        <w:t xml:space="preserve">to </w:t>
      </w:r>
      <w:r w:rsidRPr="00476B33">
        <w:t>assessing demand, and had allocated limited ‘in-house’ resources to monitoring.</w:t>
      </w:r>
      <w:r>
        <w:t xml:space="preserve"> </w:t>
      </w:r>
      <w:r w:rsidRPr="00476B33">
        <w:t xml:space="preserve">Some participants commented that Auckland Council’s recent experience in hearings on the </w:t>
      </w:r>
      <w:r>
        <w:t>PAUP</w:t>
      </w:r>
      <w:r w:rsidRPr="00476B33">
        <w:t xml:space="preserve"> had increased awareness of the issue for councils, and decision-makers were showing interest in knowing more about development capacity.</w:t>
      </w:r>
      <w:r>
        <w:t xml:space="preserve"> </w:t>
      </w:r>
      <w:r w:rsidRPr="00476B33">
        <w:t xml:space="preserve">Auckland has a monitoring system for market information, including property sales and </w:t>
      </w:r>
      <w:r>
        <w:t>C</w:t>
      </w:r>
      <w:r w:rsidRPr="00476B33">
        <w:t>ensus data, but this data is not updated frequently.</w:t>
      </w:r>
    </w:p>
    <w:p w:rsidR="009E0C89" w:rsidRDefault="009E0C89" w:rsidP="00617A42">
      <w:pPr>
        <w:pStyle w:val="BodyText"/>
      </w:pPr>
      <w:r w:rsidRPr="00476B33">
        <w:t>No information was obtained on whether councils monitor other market information such as price information</w:t>
      </w:r>
      <w:r>
        <w:t>,</w:t>
      </w:r>
      <w:r w:rsidRPr="00476B33">
        <w:t xml:space="preserve"> which might indicate greater demand in </w:t>
      </w:r>
      <w:proofErr w:type="gramStart"/>
      <w:r w:rsidRPr="00476B33">
        <w:t>particular</w:t>
      </w:r>
      <w:proofErr w:type="gramEnd"/>
      <w:r w:rsidRPr="00476B33">
        <w:t xml:space="preserve"> locations, or how well land and development markets are functioning</w:t>
      </w:r>
      <w:r>
        <w:t>;</w:t>
      </w:r>
      <w:r w:rsidRPr="00476B33">
        <w:t xml:space="preserve"> </w:t>
      </w:r>
      <w:r>
        <w:t xml:space="preserve">this </w:t>
      </w:r>
      <w:r w:rsidRPr="00476B33">
        <w:t xml:space="preserve">was outside the scope of this study. </w:t>
      </w:r>
    </w:p>
    <w:p w:rsidR="009E0C89" w:rsidRPr="00110E9C" w:rsidRDefault="00617A42" w:rsidP="003A4A32">
      <w:pPr>
        <w:pStyle w:val="Heading2"/>
      </w:pPr>
      <w:bookmarkStart w:id="92" w:name="_Toc455072001"/>
      <w:bookmarkStart w:id="93" w:name="_Toc455410533"/>
      <w:r>
        <w:t>8.2</w:t>
      </w:r>
      <w:r>
        <w:tab/>
      </w:r>
      <w:r w:rsidR="009E0C89" w:rsidRPr="00110E9C">
        <w:t xml:space="preserve">Monitoring </w:t>
      </w:r>
      <w:r w:rsidR="009E0C89">
        <w:t xml:space="preserve">business development </w:t>
      </w:r>
      <w:r w:rsidR="009E0C89" w:rsidRPr="00110E9C">
        <w:t>capacity</w:t>
      </w:r>
      <w:bookmarkEnd w:id="92"/>
      <w:bookmarkEnd w:id="93"/>
      <w:r w:rsidR="009E0C89" w:rsidRPr="00110E9C">
        <w:t xml:space="preserve"> </w:t>
      </w:r>
    </w:p>
    <w:p w:rsidR="009E0C89" w:rsidRPr="00476B33" w:rsidRDefault="009E0C89" w:rsidP="00617A42">
      <w:pPr>
        <w:pStyle w:val="BodyText"/>
      </w:pPr>
      <w:r w:rsidRPr="00476B33">
        <w:t>The availability or uptake of business development capacity is not well</w:t>
      </w:r>
      <w:r>
        <w:t>-</w:t>
      </w:r>
      <w:r w:rsidRPr="00476B33">
        <w:t>monitored by councils, as other work generally takes priority.</w:t>
      </w:r>
      <w:r>
        <w:t xml:space="preserve"> </w:t>
      </w:r>
      <w:r w:rsidRPr="00476B33">
        <w:t xml:space="preserve">Monitoring of demand for </w:t>
      </w:r>
      <w:proofErr w:type="gramStart"/>
      <w:r w:rsidRPr="00476B33">
        <w:t>greenfield</w:t>
      </w:r>
      <w:proofErr w:type="gramEnd"/>
      <w:r w:rsidRPr="00476B33">
        <w:t xml:space="preserve"> business development capacity is not systematic and is typically in response to a specific issue or plan change. Similarly, only three councils (A</w:t>
      </w:r>
      <w:r>
        <w:t>uckland</w:t>
      </w:r>
      <w:r w:rsidRPr="00476B33">
        <w:t xml:space="preserve">, </w:t>
      </w:r>
      <w:r>
        <w:t xml:space="preserve">Christchurch City </w:t>
      </w:r>
      <w:r w:rsidRPr="00476B33">
        <w:t xml:space="preserve">and </w:t>
      </w:r>
      <w:r>
        <w:t>Tauranga City</w:t>
      </w:r>
      <w:r w:rsidRPr="00476B33">
        <w:t>) carry out regular monitoring of business development capacity</w:t>
      </w:r>
      <w:r>
        <w:t xml:space="preserve"> in existing urban areas</w:t>
      </w:r>
      <w:r w:rsidRPr="00476B33">
        <w:t>. Updates to this monitoring are usually triggered by district plan review processes, but given little attention in between reviews.</w:t>
      </w:r>
      <w:r>
        <w:t xml:space="preserve"> </w:t>
      </w:r>
    </w:p>
    <w:p w:rsidR="009E0C89" w:rsidRPr="00476B33" w:rsidRDefault="009E0C89" w:rsidP="00617A42">
      <w:pPr>
        <w:pStyle w:val="BodyText"/>
      </w:pPr>
      <w:r w:rsidRPr="00476B33">
        <w:t xml:space="preserve">In addition, </w:t>
      </w:r>
      <w:r>
        <w:t xml:space="preserve">many </w:t>
      </w:r>
      <w:proofErr w:type="gramStart"/>
      <w:r>
        <w:t>councils</w:t>
      </w:r>
      <w:proofErr w:type="gramEnd"/>
      <w:r w:rsidRPr="00476B33">
        <w:t xml:space="preserve"> do not monitor the actual activities </w:t>
      </w:r>
      <w:r>
        <w:t>that</w:t>
      </w:r>
      <w:r w:rsidRPr="00476B33">
        <w:t xml:space="preserve"> occupy different business land zones, and whether they match. Around half of the councils surveyed said they were aware that industrial-zoned land may be being absorbed by non-industrial uses, but they were unable to quantify the extent.</w:t>
      </w:r>
      <w:r>
        <w:t xml:space="preserve"> A</w:t>
      </w:r>
      <w:r w:rsidRPr="00476B33">
        <w:t xml:space="preserve"> recent analysis in Auckland has been undertaken</w:t>
      </w:r>
      <w:r>
        <w:t>, however,</w:t>
      </w:r>
      <w:r w:rsidRPr="00476B33">
        <w:t xml:space="preserve"> for the </w:t>
      </w:r>
      <w:r>
        <w:t>Independent Hearings Panel</w:t>
      </w:r>
      <w:r w:rsidRPr="00476B33">
        <w:t xml:space="preserve"> for the </w:t>
      </w:r>
      <w:r>
        <w:t xml:space="preserve">PAUP, which found that </w:t>
      </w:r>
      <w:r w:rsidRPr="00476B33">
        <w:t>while retail activities are sometimes apparent on road frontages, most of the land zoned 'light industrial’ in Auckland is in fact occupied by activities of that type (for example, manufacturers, warehouses and car mechanics).</w:t>
      </w:r>
      <w:r>
        <w:t xml:space="preserve"> </w:t>
      </w:r>
      <w:r w:rsidRPr="00476B33">
        <w:t xml:space="preserve">The exception to this finding is that significant proportions of industrial land in a few of the highest-value, oldest parts of Auckland are now occupied by non-industrial uses. </w:t>
      </w:r>
    </w:p>
    <w:p w:rsidR="009E0C89" w:rsidRDefault="00617A42" w:rsidP="00617A42">
      <w:pPr>
        <w:pStyle w:val="BodyText"/>
      </w:pPr>
      <w:proofErr w:type="gramStart"/>
      <w:r>
        <w:t xml:space="preserve">Table 6 and </w:t>
      </w:r>
      <w:r w:rsidR="009E0C89">
        <w:t>7 present information on monitoring of the supply of business development capacity and consents.</w:t>
      </w:r>
      <w:proofErr w:type="gramEnd"/>
      <w:r w:rsidR="009E0C89">
        <w:t xml:space="preserve"> </w:t>
      </w:r>
    </w:p>
    <w:p w:rsidR="009E0C89" w:rsidRDefault="009E0C89" w:rsidP="00617A42">
      <w:pPr>
        <w:pStyle w:val="Tableheading"/>
      </w:pPr>
      <w:r>
        <w:t>Table 6</w:t>
      </w:r>
      <w:r w:rsidR="00CF2B39">
        <w:t>: B</w:t>
      </w:r>
      <w:r w:rsidR="007A2E1D">
        <w:t xml:space="preserve">usiness development capacity </w:t>
      </w:r>
      <w:r w:rsidR="00CF2B39">
        <w:t xml:space="preserve">monitoring </w:t>
      </w:r>
    </w:p>
    <w:tbl>
      <w:tblPr>
        <w:tblStyle w:val="TableGrid"/>
        <w:tblW w:w="8213" w:type="dxa"/>
        <w:tblBorders>
          <w:top w:val="single" w:sz="4" w:space="0" w:color="677719"/>
          <w:left w:val="none" w:sz="0" w:space="0" w:color="auto"/>
          <w:bottom w:val="single" w:sz="4" w:space="0" w:color="677719"/>
          <w:right w:val="none" w:sz="0" w:space="0" w:color="auto"/>
          <w:insideH w:val="single" w:sz="4" w:space="0" w:color="677719"/>
          <w:insideV w:val="single" w:sz="4" w:space="0" w:color="677719"/>
        </w:tblBorders>
        <w:tblLook w:val="04A0" w:firstRow="1" w:lastRow="0" w:firstColumn="1" w:lastColumn="0" w:noHBand="0" w:noVBand="1"/>
      </w:tblPr>
      <w:tblGrid>
        <w:gridCol w:w="2660"/>
        <w:gridCol w:w="1851"/>
        <w:gridCol w:w="1851"/>
        <w:gridCol w:w="1851"/>
      </w:tblGrid>
      <w:tr w:rsidR="009E0C89" w:rsidTr="001B431E">
        <w:tc>
          <w:tcPr>
            <w:tcW w:w="2660" w:type="dxa"/>
          </w:tcPr>
          <w:p w:rsidR="009E0C89" w:rsidRPr="00110E9C" w:rsidRDefault="009E0C89" w:rsidP="00617A42">
            <w:pPr>
              <w:pStyle w:val="Tabletext"/>
            </w:pPr>
          </w:p>
        </w:tc>
        <w:tc>
          <w:tcPr>
            <w:tcW w:w="5553" w:type="dxa"/>
            <w:gridSpan w:val="3"/>
          </w:tcPr>
          <w:p w:rsidR="009E0C89" w:rsidRPr="00110E9C" w:rsidRDefault="009E0C89" w:rsidP="00617A42">
            <w:pPr>
              <w:pStyle w:val="TableTextbold"/>
            </w:pPr>
            <w:r w:rsidRPr="00110E9C">
              <w:t xml:space="preserve">Monitoring of </w:t>
            </w:r>
            <w:r>
              <w:t>business</w:t>
            </w:r>
            <w:r w:rsidRPr="00110E9C">
              <w:t xml:space="preserve"> development capacity </w:t>
            </w:r>
          </w:p>
        </w:tc>
      </w:tr>
      <w:tr w:rsidR="009E0C89" w:rsidTr="001B431E">
        <w:tc>
          <w:tcPr>
            <w:tcW w:w="2660" w:type="dxa"/>
          </w:tcPr>
          <w:p w:rsidR="009E0C89" w:rsidRPr="00110E9C" w:rsidRDefault="009E0C89" w:rsidP="00617A42">
            <w:pPr>
              <w:pStyle w:val="Tabletext"/>
            </w:pPr>
          </w:p>
        </w:tc>
        <w:tc>
          <w:tcPr>
            <w:tcW w:w="1851" w:type="dxa"/>
          </w:tcPr>
          <w:p w:rsidR="009E0C89" w:rsidRPr="00110E9C" w:rsidRDefault="009E0C89" w:rsidP="00617A42">
            <w:pPr>
              <w:pStyle w:val="TableTextbold"/>
            </w:pPr>
            <w:r w:rsidRPr="00110E9C">
              <w:t>Vacant land register</w:t>
            </w:r>
          </w:p>
        </w:tc>
        <w:tc>
          <w:tcPr>
            <w:tcW w:w="1851" w:type="dxa"/>
          </w:tcPr>
          <w:p w:rsidR="009E0C89" w:rsidRPr="00110E9C" w:rsidRDefault="009E0C89" w:rsidP="00617A42">
            <w:pPr>
              <w:pStyle w:val="TableTextbold"/>
            </w:pPr>
            <w:r w:rsidRPr="00110E9C">
              <w:t>Greenfield monitoring</w:t>
            </w:r>
          </w:p>
        </w:tc>
        <w:tc>
          <w:tcPr>
            <w:tcW w:w="1851" w:type="dxa"/>
          </w:tcPr>
          <w:p w:rsidR="009E0C89" w:rsidRPr="00110E9C" w:rsidRDefault="009E0C89" w:rsidP="00617A42">
            <w:pPr>
              <w:pStyle w:val="TableTextbold"/>
            </w:pPr>
            <w:r>
              <w:t>M</w:t>
            </w:r>
            <w:r w:rsidRPr="00110E9C">
              <w:t>onitoring</w:t>
            </w:r>
            <w:r>
              <w:t xml:space="preserve"> in existing urban areas</w:t>
            </w:r>
          </w:p>
        </w:tc>
      </w:tr>
      <w:tr w:rsidR="009E0C89" w:rsidTr="001B431E">
        <w:tc>
          <w:tcPr>
            <w:tcW w:w="2660" w:type="dxa"/>
          </w:tcPr>
          <w:p w:rsidR="009E0C89" w:rsidRPr="00110E9C" w:rsidRDefault="009E0C89" w:rsidP="00617A42">
            <w:pPr>
              <w:pStyle w:val="Tabletext"/>
            </w:pPr>
            <w:r w:rsidRPr="00110E9C">
              <w:t>Queenstown</w:t>
            </w:r>
          </w:p>
        </w:tc>
        <w:tc>
          <w:tcPr>
            <w:tcW w:w="1851" w:type="dxa"/>
          </w:tcPr>
          <w:p w:rsidR="009E0C89" w:rsidRPr="00110E9C" w:rsidRDefault="009E0C89" w:rsidP="00CF2B39">
            <w:pPr>
              <w:pStyle w:val="Tabletext"/>
              <w:numPr>
                <w:ilvl w:val="0"/>
                <w:numId w:val="30"/>
              </w:numPr>
              <w:jc w:val="center"/>
            </w:pPr>
          </w:p>
        </w:tc>
        <w:tc>
          <w:tcPr>
            <w:tcW w:w="1851" w:type="dxa"/>
          </w:tcPr>
          <w:p w:rsidR="009E0C89" w:rsidRPr="00110E9C" w:rsidRDefault="009E0C89" w:rsidP="00617A42">
            <w:pPr>
              <w:pStyle w:val="Tabletext"/>
            </w:pPr>
          </w:p>
        </w:tc>
        <w:tc>
          <w:tcPr>
            <w:tcW w:w="1851" w:type="dxa"/>
          </w:tcPr>
          <w:p w:rsidR="009E0C89" w:rsidRPr="00110E9C" w:rsidRDefault="009E0C89" w:rsidP="00617A42">
            <w:pPr>
              <w:pStyle w:val="Tabletext"/>
            </w:pPr>
          </w:p>
        </w:tc>
      </w:tr>
      <w:tr w:rsidR="009E0C89" w:rsidTr="001B431E">
        <w:tc>
          <w:tcPr>
            <w:tcW w:w="2660" w:type="dxa"/>
          </w:tcPr>
          <w:p w:rsidR="009E0C89" w:rsidRPr="00110E9C" w:rsidRDefault="009E0C89" w:rsidP="00617A42">
            <w:pPr>
              <w:pStyle w:val="Tabletext"/>
            </w:pPr>
            <w:r w:rsidRPr="00110E9C">
              <w:t>Greater Christchurch</w:t>
            </w:r>
          </w:p>
        </w:tc>
        <w:tc>
          <w:tcPr>
            <w:tcW w:w="1851" w:type="dxa"/>
          </w:tcPr>
          <w:p w:rsidR="009E0C89" w:rsidRPr="00110E9C" w:rsidRDefault="009E0C89" w:rsidP="00CF2B39">
            <w:pPr>
              <w:pStyle w:val="Tabletext"/>
              <w:numPr>
                <w:ilvl w:val="0"/>
                <w:numId w:val="30"/>
              </w:numPr>
              <w:jc w:val="center"/>
            </w:pPr>
          </w:p>
        </w:tc>
        <w:tc>
          <w:tcPr>
            <w:tcW w:w="1851" w:type="dxa"/>
          </w:tcPr>
          <w:p w:rsidR="009E0C89" w:rsidRPr="00110E9C" w:rsidRDefault="009E0C89" w:rsidP="00CF2B39">
            <w:pPr>
              <w:pStyle w:val="Tabletext"/>
              <w:numPr>
                <w:ilvl w:val="0"/>
                <w:numId w:val="30"/>
              </w:numPr>
              <w:jc w:val="center"/>
            </w:pPr>
          </w:p>
        </w:tc>
        <w:tc>
          <w:tcPr>
            <w:tcW w:w="1851" w:type="dxa"/>
          </w:tcPr>
          <w:p w:rsidR="009E0C89" w:rsidRPr="00110E9C" w:rsidRDefault="009E0C89" w:rsidP="00617A42">
            <w:pPr>
              <w:pStyle w:val="Tabletext"/>
            </w:pPr>
          </w:p>
        </w:tc>
      </w:tr>
      <w:tr w:rsidR="009E0C89" w:rsidTr="001B431E">
        <w:tc>
          <w:tcPr>
            <w:tcW w:w="2660" w:type="dxa"/>
          </w:tcPr>
          <w:p w:rsidR="009E0C89" w:rsidRPr="00110E9C" w:rsidRDefault="009E0C89" w:rsidP="00617A42">
            <w:pPr>
              <w:pStyle w:val="Tabletext"/>
            </w:pPr>
            <w:r w:rsidRPr="00110E9C">
              <w:t xml:space="preserve">Christchurch City </w:t>
            </w:r>
          </w:p>
        </w:tc>
        <w:tc>
          <w:tcPr>
            <w:tcW w:w="1851" w:type="dxa"/>
          </w:tcPr>
          <w:p w:rsidR="009E0C89" w:rsidRPr="00110E9C" w:rsidRDefault="009E0C89" w:rsidP="00CF2B39">
            <w:pPr>
              <w:pStyle w:val="Tabletext"/>
              <w:numPr>
                <w:ilvl w:val="0"/>
                <w:numId w:val="30"/>
              </w:numPr>
              <w:jc w:val="center"/>
            </w:pPr>
          </w:p>
        </w:tc>
        <w:tc>
          <w:tcPr>
            <w:tcW w:w="1851" w:type="dxa"/>
          </w:tcPr>
          <w:p w:rsidR="009E0C89" w:rsidRPr="00110E9C" w:rsidRDefault="009E0C89" w:rsidP="00CF2B39">
            <w:pPr>
              <w:pStyle w:val="Tabletext"/>
              <w:numPr>
                <w:ilvl w:val="0"/>
                <w:numId w:val="30"/>
              </w:numPr>
              <w:jc w:val="center"/>
            </w:pPr>
          </w:p>
        </w:tc>
        <w:tc>
          <w:tcPr>
            <w:tcW w:w="1851" w:type="dxa"/>
          </w:tcPr>
          <w:p w:rsidR="009E0C89" w:rsidRPr="00110E9C" w:rsidRDefault="009E0C89" w:rsidP="00CF2B39">
            <w:pPr>
              <w:pStyle w:val="Tabletext"/>
              <w:numPr>
                <w:ilvl w:val="0"/>
                <w:numId w:val="30"/>
              </w:numPr>
              <w:jc w:val="center"/>
            </w:pPr>
          </w:p>
        </w:tc>
      </w:tr>
      <w:tr w:rsidR="009E0C89" w:rsidTr="001B431E">
        <w:tc>
          <w:tcPr>
            <w:tcW w:w="2660" w:type="dxa"/>
          </w:tcPr>
          <w:p w:rsidR="009E0C89" w:rsidRPr="00110E9C" w:rsidRDefault="009E0C89" w:rsidP="00617A42">
            <w:pPr>
              <w:pStyle w:val="Tabletext"/>
            </w:pPr>
            <w:r w:rsidRPr="00110E9C">
              <w:t xml:space="preserve">Greater Wellington </w:t>
            </w:r>
          </w:p>
        </w:tc>
        <w:tc>
          <w:tcPr>
            <w:tcW w:w="1851" w:type="dxa"/>
          </w:tcPr>
          <w:p w:rsidR="009E0C89" w:rsidRPr="00110E9C" w:rsidRDefault="009E0C89" w:rsidP="00617A42">
            <w:pPr>
              <w:pStyle w:val="Tabletext"/>
            </w:pPr>
          </w:p>
        </w:tc>
        <w:tc>
          <w:tcPr>
            <w:tcW w:w="1851" w:type="dxa"/>
          </w:tcPr>
          <w:p w:rsidR="009E0C89" w:rsidRPr="00110E9C" w:rsidRDefault="009E0C89" w:rsidP="00617A42">
            <w:pPr>
              <w:pStyle w:val="Tabletext"/>
            </w:pPr>
          </w:p>
        </w:tc>
        <w:tc>
          <w:tcPr>
            <w:tcW w:w="1851" w:type="dxa"/>
          </w:tcPr>
          <w:p w:rsidR="009E0C89" w:rsidRPr="00110E9C" w:rsidRDefault="009E0C89" w:rsidP="00617A42">
            <w:pPr>
              <w:pStyle w:val="Tabletext"/>
            </w:pPr>
          </w:p>
        </w:tc>
      </w:tr>
      <w:tr w:rsidR="009E0C89" w:rsidTr="001B431E">
        <w:tc>
          <w:tcPr>
            <w:tcW w:w="2660" w:type="dxa"/>
          </w:tcPr>
          <w:p w:rsidR="009E0C89" w:rsidRPr="00110E9C" w:rsidRDefault="009E0C89" w:rsidP="00617A42">
            <w:pPr>
              <w:pStyle w:val="Tabletext"/>
            </w:pPr>
            <w:r w:rsidRPr="00110E9C">
              <w:t>Wellington City</w:t>
            </w:r>
          </w:p>
        </w:tc>
        <w:tc>
          <w:tcPr>
            <w:tcW w:w="1851" w:type="dxa"/>
          </w:tcPr>
          <w:p w:rsidR="009E0C89" w:rsidRPr="00110E9C" w:rsidRDefault="009E0C89" w:rsidP="00617A42">
            <w:pPr>
              <w:pStyle w:val="Tabletext"/>
            </w:pPr>
          </w:p>
        </w:tc>
        <w:tc>
          <w:tcPr>
            <w:tcW w:w="1851" w:type="dxa"/>
          </w:tcPr>
          <w:p w:rsidR="009E0C89" w:rsidRPr="00110E9C" w:rsidRDefault="009E0C89" w:rsidP="00617A42">
            <w:pPr>
              <w:pStyle w:val="Tabletext"/>
            </w:pPr>
          </w:p>
        </w:tc>
        <w:tc>
          <w:tcPr>
            <w:tcW w:w="1851" w:type="dxa"/>
          </w:tcPr>
          <w:p w:rsidR="009E0C89" w:rsidRPr="00110E9C" w:rsidRDefault="009E0C89" w:rsidP="00617A42">
            <w:pPr>
              <w:pStyle w:val="Tabletext"/>
            </w:pPr>
          </w:p>
        </w:tc>
      </w:tr>
      <w:tr w:rsidR="009E0C89" w:rsidTr="001B431E">
        <w:tc>
          <w:tcPr>
            <w:tcW w:w="2660" w:type="dxa"/>
          </w:tcPr>
          <w:p w:rsidR="009E0C89" w:rsidRPr="00110E9C" w:rsidRDefault="009E0C89" w:rsidP="00617A42">
            <w:pPr>
              <w:pStyle w:val="Tabletext"/>
            </w:pPr>
            <w:r w:rsidRPr="00110E9C">
              <w:t>Hamilton City</w:t>
            </w:r>
          </w:p>
        </w:tc>
        <w:tc>
          <w:tcPr>
            <w:tcW w:w="1851" w:type="dxa"/>
          </w:tcPr>
          <w:p w:rsidR="009E0C89" w:rsidRPr="00110E9C" w:rsidRDefault="009E0C89" w:rsidP="00CF2B39">
            <w:pPr>
              <w:pStyle w:val="Tabletext"/>
              <w:numPr>
                <w:ilvl w:val="0"/>
                <w:numId w:val="30"/>
              </w:numPr>
              <w:jc w:val="center"/>
            </w:pPr>
          </w:p>
        </w:tc>
        <w:tc>
          <w:tcPr>
            <w:tcW w:w="1851" w:type="dxa"/>
          </w:tcPr>
          <w:p w:rsidR="009E0C89" w:rsidRPr="00110E9C" w:rsidRDefault="009E0C89" w:rsidP="00CF2B39">
            <w:pPr>
              <w:pStyle w:val="Tabletext"/>
              <w:numPr>
                <w:ilvl w:val="0"/>
                <w:numId w:val="30"/>
              </w:numPr>
              <w:jc w:val="center"/>
            </w:pPr>
          </w:p>
        </w:tc>
        <w:tc>
          <w:tcPr>
            <w:tcW w:w="1851" w:type="dxa"/>
          </w:tcPr>
          <w:p w:rsidR="009E0C89" w:rsidRPr="00110E9C" w:rsidRDefault="009E0C89" w:rsidP="00617A42">
            <w:pPr>
              <w:pStyle w:val="Tabletext"/>
            </w:pPr>
          </w:p>
        </w:tc>
      </w:tr>
      <w:tr w:rsidR="009E0C89" w:rsidTr="001B431E">
        <w:tc>
          <w:tcPr>
            <w:tcW w:w="2660" w:type="dxa"/>
          </w:tcPr>
          <w:p w:rsidR="009E0C89" w:rsidRPr="00110E9C" w:rsidRDefault="009E0C89" w:rsidP="00617A42">
            <w:pPr>
              <w:pStyle w:val="Tabletext"/>
            </w:pPr>
            <w:r w:rsidRPr="00110E9C">
              <w:t>Tauranga City</w:t>
            </w:r>
          </w:p>
        </w:tc>
        <w:tc>
          <w:tcPr>
            <w:tcW w:w="1851" w:type="dxa"/>
          </w:tcPr>
          <w:p w:rsidR="009E0C89" w:rsidRPr="00110E9C" w:rsidRDefault="009E0C89" w:rsidP="00CF2B39">
            <w:pPr>
              <w:pStyle w:val="Tabletext"/>
              <w:numPr>
                <w:ilvl w:val="0"/>
                <w:numId w:val="30"/>
              </w:numPr>
              <w:jc w:val="center"/>
            </w:pPr>
          </w:p>
        </w:tc>
        <w:tc>
          <w:tcPr>
            <w:tcW w:w="1851" w:type="dxa"/>
          </w:tcPr>
          <w:p w:rsidR="009E0C89" w:rsidRPr="00110E9C" w:rsidRDefault="009E0C89" w:rsidP="00CF2B39">
            <w:pPr>
              <w:pStyle w:val="Tabletext"/>
              <w:numPr>
                <w:ilvl w:val="0"/>
                <w:numId w:val="30"/>
              </w:numPr>
              <w:jc w:val="center"/>
            </w:pPr>
          </w:p>
        </w:tc>
        <w:tc>
          <w:tcPr>
            <w:tcW w:w="1851" w:type="dxa"/>
          </w:tcPr>
          <w:p w:rsidR="009E0C89" w:rsidRPr="00110E9C" w:rsidRDefault="009E0C89" w:rsidP="00CF2B39">
            <w:pPr>
              <w:pStyle w:val="Tabletext"/>
              <w:numPr>
                <w:ilvl w:val="0"/>
                <w:numId w:val="30"/>
              </w:numPr>
              <w:jc w:val="center"/>
            </w:pPr>
          </w:p>
        </w:tc>
      </w:tr>
      <w:tr w:rsidR="009E0C89" w:rsidTr="001B431E">
        <w:tc>
          <w:tcPr>
            <w:tcW w:w="2660" w:type="dxa"/>
          </w:tcPr>
          <w:p w:rsidR="009E0C89" w:rsidRPr="00110E9C" w:rsidRDefault="009E0C89" w:rsidP="00617A42">
            <w:pPr>
              <w:pStyle w:val="Tabletext"/>
            </w:pPr>
            <w:r w:rsidRPr="00110E9C">
              <w:t>Auckland Council</w:t>
            </w:r>
          </w:p>
        </w:tc>
        <w:tc>
          <w:tcPr>
            <w:tcW w:w="1851" w:type="dxa"/>
          </w:tcPr>
          <w:p w:rsidR="009E0C89" w:rsidRPr="00110E9C" w:rsidRDefault="009E0C89" w:rsidP="00CF2B39">
            <w:pPr>
              <w:pStyle w:val="Tabletext"/>
              <w:numPr>
                <w:ilvl w:val="0"/>
                <w:numId w:val="30"/>
              </w:numPr>
              <w:jc w:val="center"/>
            </w:pPr>
          </w:p>
        </w:tc>
        <w:tc>
          <w:tcPr>
            <w:tcW w:w="1851" w:type="dxa"/>
          </w:tcPr>
          <w:p w:rsidR="009E0C89" w:rsidRPr="00110E9C" w:rsidRDefault="009E0C89" w:rsidP="00CF2B39">
            <w:pPr>
              <w:pStyle w:val="Tabletext"/>
              <w:numPr>
                <w:ilvl w:val="0"/>
                <w:numId w:val="30"/>
              </w:numPr>
              <w:jc w:val="center"/>
            </w:pPr>
          </w:p>
        </w:tc>
        <w:tc>
          <w:tcPr>
            <w:tcW w:w="1851" w:type="dxa"/>
          </w:tcPr>
          <w:p w:rsidR="009E0C89" w:rsidRPr="00110E9C" w:rsidRDefault="009E0C89" w:rsidP="00CF2B39">
            <w:pPr>
              <w:pStyle w:val="Tabletext"/>
              <w:numPr>
                <w:ilvl w:val="0"/>
                <w:numId w:val="30"/>
              </w:numPr>
              <w:jc w:val="center"/>
            </w:pPr>
          </w:p>
        </w:tc>
      </w:tr>
      <w:tr w:rsidR="009E0C89" w:rsidTr="001B431E">
        <w:tc>
          <w:tcPr>
            <w:tcW w:w="2660" w:type="dxa"/>
          </w:tcPr>
          <w:p w:rsidR="009E0C89" w:rsidRPr="00110E9C" w:rsidRDefault="009E0C89" w:rsidP="00617A42">
            <w:pPr>
              <w:pStyle w:val="Tabletext"/>
            </w:pPr>
            <w:r w:rsidRPr="00110E9C">
              <w:t xml:space="preserve">Selwyn District </w:t>
            </w:r>
          </w:p>
        </w:tc>
        <w:tc>
          <w:tcPr>
            <w:tcW w:w="1851" w:type="dxa"/>
          </w:tcPr>
          <w:p w:rsidR="009E0C89" w:rsidRPr="00110E9C" w:rsidRDefault="009E0C89" w:rsidP="00CF2B39">
            <w:pPr>
              <w:pStyle w:val="Tabletext"/>
              <w:numPr>
                <w:ilvl w:val="0"/>
                <w:numId w:val="30"/>
              </w:numPr>
              <w:jc w:val="center"/>
            </w:pPr>
          </w:p>
        </w:tc>
        <w:tc>
          <w:tcPr>
            <w:tcW w:w="1851" w:type="dxa"/>
          </w:tcPr>
          <w:p w:rsidR="009E0C89" w:rsidRPr="00110E9C" w:rsidRDefault="009E0C89" w:rsidP="00CF2B39">
            <w:pPr>
              <w:pStyle w:val="Tabletext"/>
              <w:numPr>
                <w:ilvl w:val="0"/>
                <w:numId w:val="30"/>
              </w:numPr>
              <w:jc w:val="center"/>
            </w:pPr>
          </w:p>
        </w:tc>
        <w:tc>
          <w:tcPr>
            <w:tcW w:w="1851" w:type="dxa"/>
          </w:tcPr>
          <w:p w:rsidR="009E0C89" w:rsidRPr="00110E9C" w:rsidRDefault="009E0C89" w:rsidP="00617A42">
            <w:pPr>
              <w:pStyle w:val="Tabletext"/>
            </w:pPr>
          </w:p>
        </w:tc>
      </w:tr>
    </w:tbl>
    <w:p w:rsidR="009E0C89" w:rsidRDefault="009E0C89" w:rsidP="00617A42">
      <w:pPr>
        <w:pStyle w:val="Tableheading"/>
      </w:pPr>
      <w:r>
        <w:t>Table 7</w:t>
      </w:r>
      <w:r w:rsidR="00CF2B39">
        <w:t xml:space="preserve">: Business market activity monitoring </w:t>
      </w:r>
    </w:p>
    <w:tbl>
      <w:tblPr>
        <w:tblStyle w:val="TableGrid"/>
        <w:tblW w:w="8188" w:type="dxa"/>
        <w:tblBorders>
          <w:top w:val="single" w:sz="4" w:space="0" w:color="677719"/>
          <w:left w:val="none" w:sz="0" w:space="0" w:color="auto"/>
          <w:bottom w:val="single" w:sz="4" w:space="0" w:color="677719"/>
          <w:right w:val="none" w:sz="0" w:space="0" w:color="auto"/>
          <w:insideH w:val="single" w:sz="4" w:space="0" w:color="677719"/>
          <w:insideV w:val="single" w:sz="4" w:space="0" w:color="677719"/>
        </w:tblBorders>
        <w:tblLook w:val="04A0" w:firstRow="1" w:lastRow="0" w:firstColumn="1" w:lastColumn="0" w:noHBand="0" w:noVBand="1"/>
      </w:tblPr>
      <w:tblGrid>
        <w:gridCol w:w="2660"/>
        <w:gridCol w:w="2693"/>
        <w:gridCol w:w="2835"/>
      </w:tblGrid>
      <w:tr w:rsidR="009E0C89" w:rsidTr="001B431E">
        <w:tc>
          <w:tcPr>
            <w:tcW w:w="2660" w:type="dxa"/>
          </w:tcPr>
          <w:p w:rsidR="009E0C89" w:rsidRPr="00110E9C" w:rsidRDefault="009E0C89" w:rsidP="00617A42">
            <w:pPr>
              <w:pStyle w:val="Tabletext"/>
            </w:pPr>
          </w:p>
        </w:tc>
        <w:tc>
          <w:tcPr>
            <w:tcW w:w="5528" w:type="dxa"/>
            <w:gridSpan w:val="2"/>
          </w:tcPr>
          <w:p w:rsidR="009E0C89" w:rsidRPr="00110E9C" w:rsidRDefault="009E0C89" w:rsidP="00617A42">
            <w:pPr>
              <w:pStyle w:val="TableTextbold"/>
            </w:pPr>
            <w:r w:rsidRPr="00110E9C">
              <w:t xml:space="preserve">Monitoring of </w:t>
            </w:r>
            <w:r>
              <w:t xml:space="preserve">consents for take up purposes </w:t>
            </w:r>
          </w:p>
        </w:tc>
      </w:tr>
      <w:tr w:rsidR="009E0C89" w:rsidTr="001B431E">
        <w:tc>
          <w:tcPr>
            <w:tcW w:w="2660" w:type="dxa"/>
          </w:tcPr>
          <w:p w:rsidR="009E0C89" w:rsidRPr="00110E9C" w:rsidRDefault="009E0C89" w:rsidP="00617A42">
            <w:pPr>
              <w:pStyle w:val="Tabletext"/>
            </w:pPr>
          </w:p>
        </w:tc>
        <w:tc>
          <w:tcPr>
            <w:tcW w:w="2693" w:type="dxa"/>
          </w:tcPr>
          <w:p w:rsidR="009E0C89" w:rsidRPr="00110E9C" w:rsidRDefault="009E0C89" w:rsidP="00617A42">
            <w:pPr>
              <w:pStyle w:val="TableTextbold"/>
            </w:pPr>
            <w:r w:rsidRPr="00110E9C">
              <w:t xml:space="preserve">Resource consents granted </w:t>
            </w:r>
          </w:p>
        </w:tc>
        <w:tc>
          <w:tcPr>
            <w:tcW w:w="2835" w:type="dxa"/>
          </w:tcPr>
          <w:p w:rsidR="009E0C89" w:rsidRPr="00110E9C" w:rsidRDefault="009E0C89" w:rsidP="00617A42">
            <w:pPr>
              <w:pStyle w:val="TableTextbold"/>
            </w:pPr>
            <w:r w:rsidRPr="00110E9C">
              <w:t xml:space="preserve">Building consents granted </w:t>
            </w:r>
          </w:p>
        </w:tc>
      </w:tr>
      <w:tr w:rsidR="009E0C89" w:rsidTr="001B431E">
        <w:trPr>
          <w:trHeight w:val="54"/>
        </w:trPr>
        <w:tc>
          <w:tcPr>
            <w:tcW w:w="2660" w:type="dxa"/>
          </w:tcPr>
          <w:p w:rsidR="009E0C89" w:rsidRPr="00110E9C" w:rsidRDefault="009E0C89" w:rsidP="00617A42">
            <w:pPr>
              <w:pStyle w:val="Tabletext"/>
            </w:pPr>
            <w:r w:rsidRPr="00110E9C">
              <w:t>Queenstown</w:t>
            </w:r>
          </w:p>
        </w:tc>
        <w:tc>
          <w:tcPr>
            <w:tcW w:w="2693" w:type="dxa"/>
          </w:tcPr>
          <w:p w:rsidR="009E0C89" w:rsidRPr="00110E9C" w:rsidRDefault="009E0C89" w:rsidP="00CF2B39">
            <w:pPr>
              <w:pStyle w:val="Tabletext"/>
              <w:numPr>
                <w:ilvl w:val="0"/>
                <w:numId w:val="30"/>
              </w:numPr>
              <w:jc w:val="center"/>
            </w:pPr>
          </w:p>
        </w:tc>
        <w:tc>
          <w:tcPr>
            <w:tcW w:w="2835" w:type="dxa"/>
          </w:tcPr>
          <w:p w:rsidR="009E0C89" w:rsidRPr="00110E9C" w:rsidRDefault="009E0C89" w:rsidP="00617A42">
            <w:pPr>
              <w:pStyle w:val="Tabletext"/>
            </w:pPr>
          </w:p>
        </w:tc>
      </w:tr>
      <w:tr w:rsidR="009E0C89" w:rsidTr="001B431E">
        <w:tc>
          <w:tcPr>
            <w:tcW w:w="2660" w:type="dxa"/>
          </w:tcPr>
          <w:p w:rsidR="009E0C89" w:rsidRPr="00110E9C" w:rsidRDefault="009E0C89" w:rsidP="00617A42">
            <w:pPr>
              <w:pStyle w:val="Tabletext"/>
            </w:pPr>
            <w:r w:rsidRPr="00110E9C">
              <w:t>Greater Christchurch</w:t>
            </w:r>
          </w:p>
        </w:tc>
        <w:tc>
          <w:tcPr>
            <w:tcW w:w="2693" w:type="dxa"/>
          </w:tcPr>
          <w:p w:rsidR="009E0C89" w:rsidRPr="00110E9C" w:rsidRDefault="009E0C89" w:rsidP="00CF2B39">
            <w:pPr>
              <w:pStyle w:val="Tabletext"/>
              <w:numPr>
                <w:ilvl w:val="0"/>
                <w:numId w:val="30"/>
              </w:numPr>
              <w:jc w:val="center"/>
            </w:pPr>
          </w:p>
        </w:tc>
        <w:tc>
          <w:tcPr>
            <w:tcW w:w="2835" w:type="dxa"/>
          </w:tcPr>
          <w:p w:rsidR="009E0C89" w:rsidRPr="00110E9C" w:rsidRDefault="009E0C89" w:rsidP="00617A42">
            <w:pPr>
              <w:pStyle w:val="Tabletext"/>
            </w:pPr>
          </w:p>
        </w:tc>
      </w:tr>
      <w:tr w:rsidR="009E0C89" w:rsidTr="001B431E">
        <w:tc>
          <w:tcPr>
            <w:tcW w:w="2660" w:type="dxa"/>
          </w:tcPr>
          <w:p w:rsidR="009E0C89" w:rsidRPr="00110E9C" w:rsidRDefault="009E0C89" w:rsidP="00617A42">
            <w:pPr>
              <w:pStyle w:val="Tabletext"/>
            </w:pPr>
            <w:r w:rsidRPr="00110E9C">
              <w:t xml:space="preserve">Christchurch City </w:t>
            </w:r>
          </w:p>
        </w:tc>
        <w:tc>
          <w:tcPr>
            <w:tcW w:w="2693" w:type="dxa"/>
          </w:tcPr>
          <w:p w:rsidR="009E0C89" w:rsidRPr="00110E9C" w:rsidRDefault="009E0C89" w:rsidP="00617A42">
            <w:pPr>
              <w:pStyle w:val="Tabletext"/>
            </w:pPr>
          </w:p>
        </w:tc>
        <w:tc>
          <w:tcPr>
            <w:tcW w:w="2835" w:type="dxa"/>
          </w:tcPr>
          <w:p w:rsidR="009E0C89" w:rsidRPr="00110E9C" w:rsidRDefault="009E0C89" w:rsidP="00CF2B39">
            <w:pPr>
              <w:pStyle w:val="Tabletext"/>
              <w:numPr>
                <w:ilvl w:val="0"/>
                <w:numId w:val="30"/>
              </w:numPr>
              <w:jc w:val="center"/>
            </w:pPr>
          </w:p>
        </w:tc>
      </w:tr>
      <w:tr w:rsidR="009E0C89" w:rsidTr="001B431E">
        <w:tc>
          <w:tcPr>
            <w:tcW w:w="2660" w:type="dxa"/>
          </w:tcPr>
          <w:p w:rsidR="009E0C89" w:rsidRPr="00110E9C" w:rsidRDefault="009E0C89" w:rsidP="00617A42">
            <w:pPr>
              <w:pStyle w:val="Tabletext"/>
            </w:pPr>
            <w:r w:rsidRPr="00110E9C">
              <w:t xml:space="preserve">Greater Wellington </w:t>
            </w:r>
          </w:p>
        </w:tc>
        <w:tc>
          <w:tcPr>
            <w:tcW w:w="2693" w:type="dxa"/>
          </w:tcPr>
          <w:p w:rsidR="009E0C89" w:rsidRPr="00110E9C" w:rsidRDefault="009E0C89" w:rsidP="00617A42">
            <w:pPr>
              <w:pStyle w:val="Tabletext"/>
            </w:pPr>
          </w:p>
        </w:tc>
        <w:tc>
          <w:tcPr>
            <w:tcW w:w="2835" w:type="dxa"/>
          </w:tcPr>
          <w:p w:rsidR="009E0C89" w:rsidRPr="00110E9C" w:rsidRDefault="009E0C89" w:rsidP="00617A42">
            <w:pPr>
              <w:pStyle w:val="Tabletext"/>
            </w:pPr>
          </w:p>
        </w:tc>
      </w:tr>
      <w:tr w:rsidR="009E0C89" w:rsidTr="001B431E">
        <w:tc>
          <w:tcPr>
            <w:tcW w:w="2660" w:type="dxa"/>
          </w:tcPr>
          <w:p w:rsidR="009E0C89" w:rsidRPr="00110E9C" w:rsidRDefault="009E0C89" w:rsidP="00617A42">
            <w:pPr>
              <w:pStyle w:val="Tabletext"/>
            </w:pPr>
            <w:r w:rsidRPr="00110E9C">
              <w:t>Wellington City</w:t>
            </w:r>
          </w:p>
        </w:tc>
        <w:tc>
          <w:tcPr>
            <w:tcW w:w="2693" w:type="dxa"/>
          </w:tcPr>
          <w:p w:rsidR="009E0C89" w:rsidRPr="00110E9C" w:rsidRDefault="009E0C89" w:rsidP="00617A42">
            <w:pPr>
              <w:pStyle w:val="Tabletext"/>
            </w:pPr>
          </w:p>
        </w:tc>
        <w:tc>
          <w:tcPr>
            <w:tcW w:w="2835" w:type="dxa"/>
          </w:tcPr>
          <w:p w:rsidR="009E0C89" w:rsidRPr="00110E9C" w:rsidRDefault="009E0C89" w:rsidP="00617A42">
            <w:pPr>
              <w:pStyle w:val="Tabletext"/>
            </w:pPr>
          </w:p>
        </w:tc>
      </w:tr>
      <w:tr w:rsidR="009E0C89" w:rsidTr="001B431E">
        <w:tc>
          <w:tcPr>
            <w:tcW w:w="2660" w:type="dxa"/>
          </w:tcPr>
          <w:p w:rsidR="009E0C89" w:rsidRPr="00110E9C" w:rsidRDefault="009E0C89" w:rsidP="00617A42">
            <w:pPr>
              <w:pStyle w:val="Tabletext"/>
            </w:pPr>
            <w:r w:rsidRPr="00110E9C">
              <w:t>Hamilton City</w:t>
            </w:r>
          </w:p>
        </w:tc>
        <w:tc>
          <w:tcPr>
            <w:tcW w:w="2693" w:type="dxa"/>
          </w:tcPr>
          <w:p w:rsidR="009E0C89" w:rsidRPr="00110E9C" w:rsidRDefault="009E0C89" w:rsidP="00CF2B39">
            <w:pPr>
              <w:pStyle w:val="Tabletext"/>
              <w:numPr>
                <w:ilvl w:val="0"/>
                <w:numId w:val="30"/>
              </w:numPr>
              <w:jc w:val="center"/>
            </w:pPr>
          </w:p>
        </w:tc>
        <w:tc>
          <w:tcPr>
            <w:tcW w:w="2835" w:type="dxa"/>
          </w:tcPr>
          <w:p w:rsidR="009E0C89" w:rsidRPr="00110E9C" w:rsidRDefault="009E0C89" w:rsidP="00617A42">
            <w:pPr>
              <w:pStyle w:val="Tabletext"/>
            </w:pPr>
          </w:p>
        </w:tc>
      </w:tr>
      <w:tr w:rsidR="009E0C89" w:rsidTr="001B431E">
        <w:tc>
          <w:tcPr>
            <w:tcW w:w="2660" w:type="dxa"/>
          </w:tcPr>
          <w:p w:rsidR="009E0C89" w:rsidRPr="00110E9C" w:rsidRDefault="009E0C89" w:rsidP="00617A42">
            <w:pPr>
              <w:pStyle w:val="Tabletext"/>
            </w:pPr>
            <w:r w:rsidRPr="00110E9C">
              <w:t>Tauranga City</w:t>
            </w:r>
          </w:p>
        </w:tc>
        <w:tc>
          <w:tcPr>
            <w:tcW w:w="2693" w:type="dxa"/>
          </w:tcPr>
          <w:p w:rsidR="009E0C89" w:rsidRPr="00110E9C" w:rsidRDefault="009E0C89" w:rsidP="00CF2B39">
            <w:pPr>
              <w:pStyle w:val="Tabletext"/>
              <w:numPr>
                <w:ilvl w:val="0"/>
                <w:numId w:val="30"/>
              </w:numPr>
              <w:jc w:val="center"/>
            </w:pPr>
          </w:p>
        </w:tc>
        <w:tc>
          <w:tcPr>
            <w:tcW w:w="2835" w:type="dxa"/>
          </w:tcPr>
          <w:p w:rsidR="009E0C89" w:rsidRPr="00110E9C" w:rsidRDefault="009E0C89" w:rsidP="00617A42">
            <w:pPr>
              <w:pStyle w:val="Tabletext"/>
            </w:pPr>
          </w:p>
        </w:tc>
      </w:tr>
      <w:tr w:rsidR="009E0C89" w:rsidTr="001B431E">
        <w:tc>
          <w:tcPr>
            <w:tcW w:w="2660" w:type="dxa"/>
          </w:tcPr>
          <w:p w:rsidR="009E0C89" w:rsidRPr="00110E9C" w:rsidRDefault="009E0C89" w:rsidP="00617A42">
            <w:pPr>
              <w:pStyle w:val="Tabletext"/>
            </w:pPr>
            <w:r w:rsidRPr="00110E9C">
              <w:t>Auckland Council</w:t>
            </w:r>
          </w:p>
        </w:tc>
        <w:tc>
          <w:tcPr>
            <w:tcW w:w="2693" w:type="dxa"/>
          </w:tcPr>
          <w:p w:rsidR="009E0C89" w:rsidRPr="00110E9C" w:rsidRDefault="009E0C89" w:rsidP="00CF2B39">
            <w:pPr>
              <w:pStyle w:val="Tabletext"/>
              <w:numPr>
                <w:ilvl w:val="0"/>
                <w:numId w:val="30"/>
              </w:numPr>
              <w:jc w:val="center"/>
            </w:pPr>
          </w:p>
        </w:tc>
        <w:tc>
          <w:tcPr>
            <w:tcW w:w="2835" w:type="dxa"/>
          </w:tcPr>
          <w:p w:rsidR="009E0C89" w:rsidRPr="00110E9C" w:rsidRDefault="009E0C89" w:rsidP="00617A42">
            <w:pPr>
              <w:pStyle w:val="Tabletext"/>
            </w:pPr>
          </w:p>
        </w:tc>
      </w:tr>
      <w:tr w:rsidR="009E0C89" w:rsidTr="001B431E">
        <w:trPr>
          <w:trHeight w:val="47"/>
        </w:trPr>
        <w:tc>
          <w:tcPr>
            <w:tcW w:w="2660" w:type="dxa"/>
          </w:tcPr>
          <w:p w:rsidR="009E0C89" w:rsidRPr="00110E9C" w:rsidRDefault="009E0C89" w:rsidP="00617A42">
            <w:pPr>
              <w:pStyle w:val="Tabletext"/>
            </w:pPr>
            <w:r w:rsidRPr="00110E9C">
              <w:t xml:space="preserve">Selwyn District </w:t>
            </w:r>
          </w:p>
        </w:tc>
        <w:tc>
          <w:tcPr>
            <w:tcW w:w="2693" w:type="dxa"/>
          </w:tcPr>
          <w:p w:rsidR="009E0C89" w:rsidRPr="00110E9C" w:rsidRDefault="009E0C89" w:rsidP="00CF2B39">
            <w:pPr>
              <w:pStyle w:val="Tabletext"/>
              <w:numPr>
                <w:ilvl w:val="0"/>
                <w:numId w:val="30"/>
              </w:numPr>
              <w:jc w:val="center"/>
            </w:pPr>
          </w:p>
        </w:tc>
        <w:tc>
          <w:tcPr>
            <w:tcW w:w="2835" w:type="dxa"/>
          </w:tcPr>
          <w:p w:rsidR="009E0C89" w:rsidRPr="00110E9C" w:rsidRDefault="009E0C89" w:rsidP="00CF2B39">
            <w:pPr>
              <w:pStyle w:val="Tabletext"/>
              <w:numPr>
                <w:ilvl w:val="0"/>
                <w:numId w:val="30"/>
              </w:numPr>
              <w:jc w:val="center"/>
            </w:pPr>
          </w:p>
        </w:tc>
      </w:tr>
    </w:tbl>
    <w:p w:rsidR="009E0C89" w:rsidRPr="00476B33" w:rsidRDefault="009E0C89" w:rsidP="00617A42">
      <w:pPr>
        <w:pStyle w:val="BodyText"/>
      </w:pPr>
      <w:r w:rsidRPr="00476B33">
        <w:t xml:space="preserve">Consistent with the residential vacant land register, most of the councils surveyed maintain a vacant land register of business-zoned sites. Similarly, </w:t>
      </w:r>
      <w:r>
        <w:t xml:space="preserve">for most </w:t>
      </w:r>
      <w:proofErr w:type="gramStart"/>
      <w:r>
        <w:t>councils</w:t>
      </w:r>
      <w:proofErr w:type="gramEnd"/>
      <w:r>
        <w:t xml:space="preserve">, </w:t>
      </w:r>
      <w:r w:rsidRPr="00476B33">
        <w:t xml:space="preserve">vacant sites are cross-checked against resource consents rather than building consents, and sites are taken off the vacant land register whether the resource consent has been actioned or not. </w:t>
      </w:r>
    </w:p>
    <w:p w:rsidR="009E0C89" w:rsidRPr="00476B33" w:rsidRDefault="009E0C89" w:rsidP="00617A42">
      <w:pPr>
        <w:pStyle w:val="BodyText"/>
      </w:pPr>
      <w:r w:rsidRPr="00476B33">
        <w:t xml:space="preserve">Few </w:t>
      </w:r>
      <w:proofErr w:type="gramStart"/>
      <w:r w:rsidRPr="00476B33">
        <w:t>councils</w:t>
      </w:r>
      <w:proofErr w:type="gramEnd"/>
      <w:r w:rsidRPr="00476B33">
        <w:t xml:space="preserve"> did anything more sophisticated than maintaining a vacant land register; for those that did, the process was generally more basic than for residential development capacity. </w:t>
      </w:r>
      <w:r>
        <w:t>Auckland Council and Tauranga City</w:t>
      </w:r>
      <w:r w:rsidRPr="00476B33">
        <w:t xml:space="preserve"> have more formal monitoring based on Census data and property sales, although the sporadic nature of this data limits their ability to maintain up-to-date information. For example, </w:t>
      </w:r>
      <w:r>
        <w:t xml:space="preserve">Tauranga City </w:t>
      </w:r>
      <w:r w:rsidRPr="00476B33">
        <w:t>carr</w:t>
      </w:r>
      <w:r>
        <w:t>ies</w:t>
      </w:r>
      <w:r w:rsidRPr="00476B33">
        <w:t xml:space="preserve"> out an industrial land use survey which looks at rates of uptake and changes in the availability of vacant business development capacity. </w:t>
      </w:r>
      <w:r w:rsidRPr="002B1B2F">
        <w:t xml:space="preserve">Hamilton City </w:t>
      </w:r>
      <w:r>
        <w:t xml:space="preserve">also </w:t>
      </w:r>
      <w:r w:rsidRPr="002B1B2F">
        <w:t xml:space="preserve">annually surveys </w:t>
      </w:r>
      <w:r>
        <w:t>all business land in existing urban areas to establish vacancy rates</w:t>
      </w:r>
      <w:r w:rsidRPr="00D174A6">
        <w:t>, and use</w:t>
      </w:r>
      <w:r>
        <w:t>s</w:t>
      </w:r>
      <w:r w:rsidRPr="00D174A6">
        <w:t xml:space="preserve"> th</w:t>
      </w:r>
      <w:r>
        <w:t>e</w:t>
      </w:r>
      <w:r w:rsidRPr="002B1B2F">
        <w:t xml:space="preserve"> data </w:t>
      </w:r>
      <w:r>
        <w:t>to model</w:t>
      </w:r>
      <w:r w:rsidRPr="002B1B2F">
        <w:t xml:space="preserve"> </w:t>
      </w:r>
      <w:r>
        <w:t>business</w:t>
      </w:r>
      <w:r w:rsidRPr="002B1B2F">
        <w:t xml:space="preserve"> </w:t>
      </w:r>
      <w:r>
        <w:t xml:space="preserve">development </w:t>
      </w:r>
      <w:r w:rsidRPr="002B1B2F">
        <w:t xml:space="preserve">capacity for </w:t>
      </w:r>
      <w:r>
        <w:t xml:space="preserve">setting </w:t>
      </w:r>
      <w:r w:rsidRPr="002B1B2F">
        <w:t>development contributions.</w:t>
      </w:r>
      <w:r w:rsidR="00597643">
        <w:t xml:space="preserve"> </w:t>
      </w:r>
      <w:r w:rsidRPr="00476B33">
        <w:t>A</w:t>
      </w:r>
      <w:r>
        <w:t>uckland Council</w:t>
      </w:r>
      <w:r w:rsidRPr="00476B33">
        <w:t xml:space="preserve">, </w:t>
      </w:r>
      <w:r>
        <w:t xml:space="preserve">Christchurch City, Queenstown Lakes District </w:t>
      </w:r>
      <w:r w:rsidRPr="00476B33">
        <w:t xml:space="preserve">and </w:t>
      </w:r>
      <w:r>
        <w:t xml:space="preserve">Hamilton City </w:t>
      </w:r>
      <w:r w:rsidRPr="00476B33">
        <w:t xml:space="preserve">monitor the uptake and usage of business development capacity by new </w:t>
      </w:r>
      <w:proofErr w:type="gramStart"/>
      <w:r w:rsidRPr="00476B33">
        <w:t>greenfield</w:t>
      </w:r>
      <w:proofErr w:type="gramEnd"/>
      <w:r w:rsidRPr="00476B33">
        <w:t xml:space="preserve"> developments, often as part of wider reporting on development trends. This survey work is complemented by data obtained from resource</w:t>
      </w:r>
      <w:r>
        <w:t xml:space="preserve"> (and building)</w:t>
      </w:r>
      <w:r w:rsidRPr="00476B33">
        <w:t xml:space="preserve"> consents.</w:t>
      </w:r>
      <w:r>
        <w:t xml:space="preserve"> </w:t>
      </w:r>
    </w:p>
    <w:p w:rsidR="009E0C89" w:rsidRDefault="009E0C89" w:rsidP="00617A42">
      <w:pPr>
        <w:pStyle w:val="BodyText"/>
        <w:rPr>
          <w:sz w:val="18"/>
        </w:rPr>
      </w:pPr>
      <w:r w:rsidRPr="00476B33">
        <w:t>Many participants noted that information on business development capacity was not widely circulated within council</w:t>
      </w:r>
      <w:r>
        <w:t>.</w:t>
      </w:r>
      <w:r w:rsidRPr="00476B33">
        <w:t xml:space="preserve"> </w:t>
      </w:r>
      <w:r>
        <w:t>It appears</w:t>
      </w:r>
      <w:r w:rsidRPr="00476B33">
        <w:t xml:space="preserve"> that monitoring of business development capacity </w:t>
      </w:r>
      <w:r>
        <w:t xml:space="preserve">is </w:t>
      </w:r>
      <w:r w:rsidRPr="00476B33">
        <w:t xml:space="preserve">not a high priority for councils. It is also </w:t>
      </w:r>
      <w:r w:rsidR="00C7688C" w:rsidRPr="00476B33">
        <w:t xml:space="preserve">possible </w:t>
      </w:r>
      <w:r w:rsidRPr="00476B33">
        <w:t>that councils do not prioritise monitoring because there are fewer problems with business development capacity.</w:t>
      </w:r>
      <w:r>
        <w:rPr>
          <w:sz w:val="18"/>
        </w:rPr>
        <w:t xml:space="preserve"> </w:t>
      </w:r>
    </w:p>
    <w:p w:rsidR="00C7688C" w:rsidRDefault="00C7688C">
      <w:pPr>
        <w:spacing w:before="0" w:after="200" w:line="276" w:lineRule="auto"/>
        <w:jc w:val="left"/>
        <w:rPr>
          <w:rFonts w:eastAsiaTheme="majorEastAsia" w:cstheme="majorBidi"/>
          <w:b/>
          <w:bCs/>
          <w:color w:val="E36F1E"/>
          <w:sz w:val="48"/>
          <w:szCs w:val="28"/>
        </w:rPr>
      </w:pPr>
      <w:bookmarkStart w:id="94" w:name="_Toc455072002"/>
      <w:r>
        <w:br w:type="page"/>
      </w:r>
    </w:p>
    <w:p w:rsidR="009E0C89" w:rsidRPr="004D417E" w:rsidRDefault="009E0C89" w:rsidP="001F23F2">
      <w:pPr>
        <w:pStyle w:val="Heading1"/>
        <w:numPr>
          <w:ilvl w:val="0"/>
          <w:numId w:val="29"/>
        </w:numPr>
      </w:pPr>
      <w:bookmarkStart w:id="95" w:name="_Toc455410534"/>
      <w:r w:rsidRPr="004D417E">
        <w:t>Costs to councils</w:t>
      </w:r>
      <w:bookmarkEnd w:id="95"/>
      <w:r w:rsidRPr="004D417E">
        <w:t xml:space="preserve"> </w:t>
      </w:r>
      <w:bookmarkEnd w:id="94"/>
    </w:p>
    <w:p w:rsidR="009E0C89" w:rsidRDefault="009E0C89" w:rsidP="00C7688C">
      <w:pPr>
        <w:pStyle w:val="BodyText"/>
      </w:pPr>
      <w:r>
        <w:t xml:space="preserve">The costs to councils associated with assessing and monitoring development capacity </w:t>
      </w:r>
      <w:r w:rsidRPr="002B1B2F">
        <w:t xml:space="preserve">are not consistent on an annual </w:t>
      </w:r>
      <w:r>
        <w:t xml:space="preserve">basis; costs are </w:t>
      </w:r>
      <w:r w:rsidRPr="002B1B2F">
        <w:t xml:space="preserve">higher during </w:t>
      </w:r>
      <w:r w:rsidRPr="002F5AF2">
        <w:t>strategic planning exercises</w:t>
      </w:r>
      <w:r>
        <w:t>,</w:t>
      </w:r>
      <w:r w:rsidRPr="002F5AF2">
        <w:t xml:space="preserve"> </w:t>
      </w:r>
      <w:r>
        <w:t xml:space="preserve">the </w:t>
      </w:r>
      <w:r w:rsidRPr="002B1B2F">
        <w:t xml:space="preserve">preparation </w:t>
      </w:r>
      <w:r>
        <w:t xml:space="preserve">of long term plans, </w:t>
      </w:r>
      <w:r w:rsidRPr="002B1B2F">
        <w:t>and plan reviews.</w:t>
      </w:r>
      <w:r>
        <w:t xml:space="preserve"> Similarly, it is sometimes difficult to split out the costs of monitoring development capacity from other monitoring carried out by councils. Nevertheless, participants provided some estimated costs. </w:t>
      </w:r>
    </w:p>
    <w:p w:rsidR="009E0C89" w:rsidRPr="00476B33" w:rsidRDefault="009E0C89" w:rsidP="00C7688C">
      <w:pPr>
        <w:pStyle w:val="BodyText"/>
      </w:pPr>
      <w:r w:rsidRPr="00476B33">
        <w:t>The costs to councils associated with assessing and monitoring development capacity are split into staff costs and</w:t>
      </w:r>
      <w:r>
        <w:t xml:space="preserve"> the</w:t>
      </w:r>
      <w:r w:rsidRPr="00476B33">
        <w:t xml:space="preserve"> additional, one-off costs of consultant reports. This report does not contain information on the costs of one-off external consultant reports, as they are commercially sensitive, and tend to be more discrete and infrequent. </w:t>
      </w:r>
    </w:p>
    <w:p w:rsidR="009E0C89" w:rsidRPr="00110E9C" w:rsidRDefault="00C7688C" w:rsidP="003A4A32">
      <w:pPr>
        <w:pStyle w:val="Heading2"/>
      </w:pPr>
      <w:bookmarkStart w:id="96" w:name="_Toc455072003"/>
      <w:bookmarkStart w:id="97" w:name="_Toc455410535"/>
      <w:r>
        <w:t>9.1</w:t>
      </w:r>
      <w:r>
        <w:tab/>
      </w:r>
      <w:r w:rsidR="009E0C89">
        <w:t>Costs associated with assessing residential development capacity</w:t>
      </w:r>
      <w:bookmarkEnd w:id="96"/>
      <w:bookmarkEnd w:id="97"/>
      <w:r w:rsidR="009E0C89">
        <w:t xml:space="preserve"> </w:t>
      </w:r>
    </w:p>
    <w:p w:rsidR="009E0C89" w:rsidRPr="00476B33" w:rsidRDefault="009E0C89" w:rsidP="00C7688C">
      <w:pPr>
        <w:pStyle w:val="BodyText"/>
      </w:pPr>
      <w:r w:rsidRPr="00476B33">
        <w:t>All of the councils</w:t>
      </w:r>
      <w:r w:rsidRPr="00C64B37">
        <w:t xml:space="preserve"> </w:t>
      </w:r>
      <w:r w:rsidRPr="00476B33">
        <w:t xml:space="preserve">surveyed, with the exception of </w:t>
      </w:r>
      <w:r>
        <w:t>Auckland Council</w:t>
      </w:r>
      <w:r w:rsidRPr="00476B33">
        <w:t>, noted</w:t>
      </w:r>
      <w:r>
        <w:t xml:space="preserve"> that</w:t>
      </w:r>
      <w:r w:rsidRPr="00476B33">
        <w:t xml:space="preserve"> the cost of monitoring and work to estimate demand and supply of development capacity was low </w:t>
      </w:r>
      <w:r>
        <w:t>given</w:t>
      </w:r>
      <w:r w:rsidRPr="00476B33">
        <w:t xml:space="preserve"> the usefulness of the information it generates. Table </w:t>
      </w:r>
      <w:r>
        <w:t>8</w:t>
      </w:r>
      <w:r w:rsidRPr="00476B33">
        <w:t xml:space="preserve"> presents the range of council staff costs in full-time equivalents (FTEs), and the equivalent costs based on a standard salary. The figures exclude ‘one off’ external consultant costs as discussed above. This is likely to represent a higher cost to councils, as a number of more detailed pieces of work are contracted to consultants, particularly those carried out in support of a specific plan change.</w:t>
      </w:r>
      <w:r>
        <w:t xml:space="preserve"> </w:t>
      </w:r>
    </w:p>
    <w:p w:rsidR="009E0C89" w:rsidRPr="00476B33" w:rsidRDefault="009E0C89" w:rsidP="00C7688C">
      <w:pPr>
        <w:pStyle w:val="BodyText"/>
      </w:pPr>
      <w:r w:rsidRPr="00476B33">
        <w:t xml:space="preserve">The FTEs allocated depended on the extent of the work undertaken, and in particular whether there was any immediate issue to address. The ranges in table </w:t>
      </w:r>
      <w:r>
        <w:t>8</w:t>
      </w:r>
      <w:r w:rsidRPr="00476B33">
        <w:t xml:space="preserve"> exclude </w:t>
      </w:r>
      <w:r>
        <w:t>Auckland Council</w:t>
      </w:r>
      <w:r w:rsidRPr="00476B33">
        <w:t>; its recent costs for modelling of demand and supply of development capacity are significantly higher and are discussed below.</w:t>
      </w:r>
    </w:p>
    <w:p w:rsidR="009E0C89" w:rsidRPr="00476B33" w:rsidRDefault="009E0C89" w:rsidP="00C7688C">
      <w:pPr>
        <w:pStyle w:val="Tableheading"/>
      </w:pPr>
      <w:r w:rsidRPr="00476B33">
        <w:t xml:space="preserve">Table </w:t>
      </w:r>
      <w:r>
        <w:t>8</w:t>
      </w:r>
      <w:r w:rsidRPr="00476B33">
        <w:t xml:space="preserve">: Estimates of council staff resource </w:t>
      </w:r>
    </w:p>
    <w:tbl>
      <w:tblPr>
        <w:tblStyle w:val="TableGrid"/>
        <w:tblW w:w="0" w:type="auto"/>
        <w:tblBorders>
          <w:top w:val="single" w:sz="4" w:space="0" w:color="677719"/>
          <w:left w:val="none" w:sz="0" w:space="0" w:color="auto"/>
          <w:bottom w:val="single" w:sz="4" w:space="0" w:color="677719"/>
          <w:right w:val="none" w:sz="0" w:space="0" w:color="auto"/>
          <w:insideH w:val="single" w:sz="4" w:space="0" w:color="677719"/>
          <w:insideV w:val="single" w:sz="4" w:space="0" w:color="677719"/>
        </w:tblBorders>
        <w:tblLook w:val="04A0" w:firstRow="1" w:lastRow="0" w:firstColumn="1" w:lastColumn="0" w:noHBand="0" w:noVBand="1"/>
      </w:tblPr>
      <w:tblGrid>
        <w:gridCol w:w="2974"/>
        <w:gridCol w:w="2965"/>
        <w:gridCol w:w="2781"/>
      </w:tblGrid>
      <w:tr w:rsidR="009E0C89" w:rsidTr="001B431E">
        <w:trPr>
          <w:trHeight w:val="576"/>
        </w:trPr>
        <w:tc>
          <w:tcPr>
            <w:tcW w:w="3080" w:type="dxa"/>
          </w:tcPr>
          <w:p w:rsidR="009E0C89" w:rsidRPr="00476B33" w:rsidRDefault="009E0C89" w:rsidP="00C7688C">
            <w:pPr>
              <w:pStyle w:val="TableTextbold"/>
            </w:pPr>
            <w:r w:rsidRPr="00476B33">
              <w:t xml:space="preserve">Residential </w:t>
            </w:r>
          </w:p>
        </w:tc>
        <w:tc>
          <w:tcPr>
            <w:tcW w:w="3081" w:type="dxa"/>
          </w:tcPr>
          <w:p w:rsidR="009E0C89" w:rsidRPr="00476B33" w:rsidRDefault="009E0C89" w:rsidP="00C7688C">
            <w:pPr>
              <w:pStyle w:val="TableTextbold"/>
            </w:pPr>
            <w:r w:rsidRPr="00476B33">
              <w:t>Council staff resource (</w:t>
            </w:r>
            <w:r>
              <w:t>FTE</w:t>
            </w:r>
            <w:r w:rsidRPr="00476B33">
              <w:t>)</w:t>
            </w:r>
          </w:p>
        </w:tc>
        <w:tc>
          <w:tcPr>
            <w:tcW w:w="2878" w:type="dxa"/>
          </w:tcPr>
          <w:p w:rsidR="009E0C89" w:rsidRPr="00476B33" w:rsidRDefault="009E0C89" w:rsidP="00C7688C">
            <w:pPr>
              <w:pStyle w:val="TableTextbold"/>
            </w:pPr>
            <w:r w:rsidRPr="00476B33">
              <w:t xml:space="preserve">Equivalent annual cost ($) </w:t>
            </w:r>
          </w:p>
        </w:tc>
      </w:tr>
      <w:tr w:rsidR="009E0C89" w:rsidTr="001B431E">
        <w:trPr>
          <w:trHeight w:val="277"/>
        </w:trPr>
        <w:tc>
          <w:tcPr>
            <w:tcW w:w="3080" w:type="dxa"/>
          </w:tcPr>
          <w:p w:rsidR="009E0C89" w:rsidRPr="00476B33" w:rsidRDefault="009E0C89" w:rsidP="00C7688C">
            <w:pPr>
              <w:pStyle w:val="Tabletext"/>
            </w:pPr>
            <w:r w:rsidRPr="00476B33">
              <w:t xml:space="preserve">Modelling </w:t>
            </w:r>
          </w:p>
        </w:tc>
        <w:tc>
          <w:tcPr>
            <w:tcW w:w="3081" w:type="dxa"/>
          </w:tcPr>
          <w:p w:rsidR="009E0C89" w:rsidRPr="00476B33" w:rsidRDefault="009E0C89" w:rsidP="00C7688C">
            <w:pPr>
              <w:pStyle w:val="Tabletext"/>
            </w:pPr>
            <w:r w:rsidRPr="00476B33">
              <w:t>0.1 – 0.2</w:t>
            </w:r>
          </w:p>
        </w:tc>
        <w:tc>
          <w:tcPr>
            <w:tcW w:w="2878" w:type="dxa"/>
          </w:tcPr>
          <w:p w:rsidR="009E0C89" w:rsidRPr="00476B33" w:rsidRDefault="009E0C89" w:rsidP="00C7688C">
            <w:pPr>
              <w:pStyle w:val="Tabletext"/>
            </w:pPr>
            <w:r w:rsidRPr="00476B33">
              <w:t>Up to $16,000</w:t>
            </w:r>
          </w:p>
        </w:tc>
      </w:tr>
      <w:tr w:rsidR="009E0C89" w:rsidTr="001B431E">
        <w:tc>
          <w:tcPr>
            <w:tcW w:w="3080" w:type="dxa"/>
          </w:tcPr>
          <w:p w:rsidR="009E0C89" w:rsidRPr="00476B33" w:rsidRDefault="009E0C89" w:rsidP="00C7688C">
            <w:pPr>
              <w:pStyle w:val="Tabletext"/>
            </w:pPr>
            <w:r w:rsidRPr="00476B33">
              <w:t xml:space="preserve">Monitoring </w:t>
            </w:r>
          </w:p>
        </w:tc>
        <w:tc>
          <w:tcPr>
            <w:tcW w:w="3081" w:type="dxa"/>
          </w:tcPr>
          <w:p w:rsidR="009E0C89" w:rsidRPr="00476B33" w:rsidRDefault="009E0C89" w:rsidP="00C7688C">
            <w:pPr>
              <w:pStyle w:val="Tabletext"/>
            </w:pPr>
            <w:r w:rsidRPr="00476B33">
              <w:t>0.05 – 0.</w:t>
            </w:r>
            <w:r>
              <w:t>5</w:t>
            </w:r>
          </w:p>
        </w:tc>
        <w:tc>
          <w:tcPr>
            <w:tcW w:w="2878" w:type="dxa"/>
          </w:tcPr>
          <w:p w:rsidR="009E0C89" w:rsidRPr="00476B33" w:rsidRDefault="009E0C89" w:rsidP="00C7688C">
            <w:pPr>
              <w:pStyle w:val="Tabletext"/>
            </w:pPr>
            <w:r w:rsidRPr="00476B33">
              <w:t>Up to $</w:t>
            </w:r>
            <w:r>
              <w:t>40</w:t>
            </w:r>
            <w:r w:rsidRPr="00476B33">
              <w:t xml:space="preserve">,000 </w:t>
            </w:r>
          </w:p>
        </w:tc>
      </w:tr>
    </w:tbl>
    <w:p w:rsidR="009E0C89" w:rsidRPr="00476B33" w:rsidRDefault="009E0C89" w:rsidP="00C7688C">
      <w:pPr>
        <w:pStyle w:val="BodyText"/>
      </w:pPr>
      <w:r w:rsidRPr="00476B33">
        <w:t>FTE resource requirements are very low which flows through to low annual costs to councils. In general, councils did not allocate specific funding in annual budgets so funds had to be diverted from other council planning budgets.</w:t>
      </w:r>
    </w:p>
    <w:p w:rsidR="009E0C89" w:rsidRPr="00476B33" w:rsidRDefault="009E0C89" w:rsidP="00C7688C">
      <w:pPr>
        <w:pStyle w:val="BodyText"/>
      </w:pPr>
      <w:r w:rsidRPr="00476B33">
        <w:t>T</w:t>
      </w:r>
      <w:r>
        <w:t>auranga City</w:t>
      </w:r>
      <w:r w:rsidRPr="00476B33">
        <w:t xml:space="preserve"> is at the top end of the range of costs </w:t>
      </w:r>
      <w:r>
        <w:t xml:space="preserve">due to </w:t>
      </w:r>
      <w:r w:rsidRPr="00476B33">
        <w:t xml:space="preserve">the monitoring and reporting system to support </w:t>
      </w:r>
      <w:proofErr w:type="spellStart"/>
      <w:r w:rsidRPr="00476B33">
        <w:t>SmartGrowth</w:t>
      </w:r>
      <w:proofErr w:type="spellEnd"/>
      <w:r w:rsidRPr="00476B33">
        <w:t xml:space="preserve">. </w:t>
      </w:r>
    </w:p>
    <w:p w:rsidR="009E0C89" w:rsidRPr="00476B33" w:rsidRDefault="009E0C89" w:rsidP="00C7688C">
      <w:pPr>
        <w:pStyle w:val="BodyText"/>
      </w:pPr>
      <w:r w:rsidRPr="00476B33">
        <w:t>The costs for A</w:t>
      </w:r>
      <w:r>
        <w:t xml:space="preserve">uckland </w:t>
      </w:r>
      <w:r w:rsidRPr="00476B33">
        <w:t>C</w:t>
      </w:r>
      <w:r>
        <w:t>ouncil</w:t>
      </w:r>
      <w:r w:rsidRPr="00476B33">
        <w:t xml:space="preserve"> were on a different scale compared to other councils. Over the last </w:t>
      </w:r>
      <w:r>
        <w:t>three</w:t>
      </w:r>
      <w:r w:rsidRPr="00476B33">
        <w:t xml:space="preserve"> years, </w:t>
      </w:r>
      <w:r>
        <w:t>to support hearings</w:t>
      </w:r>
      <w:r w:rsidRPr="00476B33">
        <w:t xml:space="preserve"> </w:t>
      </w:r>
      <w:r>
        <w:t xml:space="preserve">on </w:t>
      </w:r>
      <w:r w:rsidRPr="00476B33">
        <w:t>the</w:t>
      </w:r>
      <w:r>
        <w:t xml:space="preserve"> PAUP</w:t>
      </w:r>
      <w:r w:rsidRPr="00476B33">
        <w:t xml:space="preserve">, </w:t>
      </w:r>
      <w:r>
        <w:t xml:space="preserve">Auckland Council </w:t>
      </w:r>
      <w:r w:rsidRPr="00476B33">
        <w:t>has spent a figure in the order of $800,000 on modelling of residential demand, development capacity and monitoring.</w:t>
      </w:r>
      <w:r>
        <w:t xml:space="preserve"> </w:t>
      </w:r>
      <w:r w:rsidRPr="00476B33">
        <w:t>Most of these costs are ‘one off’ for setting up data sources and systems. A</w:t>
      </w:r>
      <w:r>
        <w:t xml:space="preserve">uckland </w:t>
      </w:r>
      <w:r w:rsidRPr="00476B33">
        <w:t>C</w:t>
      </w:r>
      <w:r>
        <w:t>ouncil</w:t>
      </w:r>
      <w:r w:rsidRPr="00476B33">
        <w:t xml:space="preserve"> anticipates an additional $200,000 </w:t>
      </w:r>
      <w:r>
        <w:t xml:space="preserve">is required </w:t>
      </w:r>
      <w:r w:rsidRPr="00476B33">
        <w:t>to complete the process. Once established, ongoing annual costs are likely to be around $50,000 - $100,000 (1 – 1.5 FTEs).</w:t>
      </w:r>
    </w:p>
    <w:p w:rsidR="009E0C89" w:rsidRPr="00476B33" w:rsidRDefault="009E0C89" w:rsidP="00C7688C">
      <w:pPr>
        <w:pStyle w:val="BodyText"/>
      </w:pPr>
      <w:r w:rsidRPr="00476B33">
        <w:t>The time involved in monitoring varies depending on whether the process is manual or automated, and whether setting up the monitoring was included. Once it is set up, the time involved in maintaining a monitoring system is relatively low, compared to the time taken to interpret and report the results.</w:t>
      </w:r>
      <w:r>
        <w:t xml:space="preserve"> </w:t>
      </w:r>
    </w:p>
    <w:p w:rsidR="009E0C89" w:rsidRPr="00476B33" w:rsidRDefault="00C7688C" w:rsidP="003A4A32">
      <w:pPr>
        <w:pStyle w:val="Heading2"/>
      </w:pPr>
      <w:bookmarkStart w:id="98" w:name="_Toc455072004"/>
      <w:bookmarkStart w:id="99" w:name="_Toc455072005"/>
      <w:bookmarkStart w:id="100" w:name="_Toc455410536"/>
      <w:bookmarkEnd w:id="98"/>
      <w:r>
        <w:t>9.2</w:t>
      </w:r>
      <w:r>
        <w:tab/>
      </w:r>
      <w:r w:rsidR="009E0C89" w:rsidRPr="00476B33">
        <w:t>Business forecasting and monitoring costs</w:t>
      </w:r>
      <w:bookmarkEnd w:id="99"/>
      <w:bookmarkEnd w:id="100"/>
    </w:p>
    <w:p w:rsidR="009E0C89" w:rsidRPr="00476B33" w:rsidRDefault="009E0C89" w:rsidP="00C7688C">
      <w:pPr>
        <w:pStyle w:val="BodyText"/>
      </w:pPr>
      <w:r w:rsidRPr="00476B33">
        <w:t>Modelling and monitoring of business land capacity receives minimal specific funding and is generally done alongside monitoring and reporting on residential land capacity.</w:t>
      </w:r>
    </w:p>
    <w:p w:rsidR="009E0C89" w:rsidRPr="00476B33" w:rsidRDefault="009E0C89" w:rsidP="00C7688C">
      <w:pPr>
        <w:pStyle w:val="BodyText"/>
      </w:pPr>
      <w:r w:rsidRPr="00476B33">
        <w:t xml:space="preserve">All </w:t>
      </w:r>
      <w:r>
        <w:t xml:space="preserve">of the </w:t>
      </w:r>
      <w:r w:rsidRPr="00476B33">
        <w:t xml:space="preserve">councils </w:t>
      </w:r>
      <w:r>
        <w:t xml:space="preserve">surveyed on this question, with the exception of Auckland Council, </w:t>
      </w:r>
      <w:r w:rsidRPr="00476B33">
        <w:t xml:space="preserve">said they had limited budget and resource for modelling and monitoring business land demand and development capacity. Updates generally only happened in response to a specific need, such as </w:t>
      </w:r>
      <w:r>
        <w:t xml:space="preserve">the development of long term plans under the LGA, strategic planning exercises, </w:t>
      </w:r>
      <w:r w:rsidRPr="00476B33">
        <w:t xml:space="preserve">a plan change application, a specific business zone issue or a district plan review. This is reflected in Table </w:t>
      </w:r>
      <w:r>
        <w:t>9</w:t>
      </w:r>
      <w:r w:rsidRPr="00476B33">
        <w:t xml:space="preserve"> below, with minimal FTE resource allocated to such processes, although it should be noted that this data is based on a sample of only four council participants.</w:t>
      </w:r>
      <w:r>
        <w:t xml:space="preserve"> </w:t>
      </w:r>
    </w:p>
    <w:p w:rsidR="009E0C89" w:rsidRPr="00476B33" w:rsidRDefault="009E0C89" w:rsidP="00024054">
      <w:pPr>
        <w:pStyle w:val="Tableheading"/>
      </w:pPr>
      <w:r w:rsidRPr="00476B33">
        <w:t xml:space="preserve">Table </w:t>
      </w:r>
      <w:r w:rsidR="00024054">
        <w:t>9</w:t>
      </w:r>
      <w:r w:rsidRPr="00476B33">
        <w:t xml:space="preserve">: Estimates of council staff resource </w:t>
      </w:r>
    </w:p>
    <w:tbl>
      <w:tblPr>
        <w:tblStyle w:val="TableGrid"/>
        <w:tblW w:w="0" w:type="auto"/>
        <w:tblBorders>
          <w:top w:val="single" w:sz="4" w:space="0" w:color="677719"/>
          <w:left w:val="none" w:sz="0" w:space="0" w:color="auto"/>
          <w:bottom w:val="single" w:sz="4" w:space="0" w:color="677719"/>
          <w:right w:val="none" w:sz="0" w:space="0" w:color="auto"/>
          <w:insideH w:val="single" w:sz="4" w:space="0" w:color="677719"/>
          <w:insideV w:val="single" w:sz="4" w:space="0" w:color="677719"/>
        </w:tblBorders>
        <w:tblLook w:val="04A0" w:firstRow="1" w:lastRow="0" w:firstColumn="1" w:lastColumn="0" w:noHBand="0" w:noVBand="1"/>
      </w:tblPr>
      <w:tblGrid>
        <w:gridCol w:w="2912"/>
        <w:gridCol w:w="2898"/>
        <w:gridCol w:w="2910"/>
      </w:tblGrid>
      <w:tr w:rsidR="009E0C89" w:rsidTr="001B431E">
        <w:trPr>
          <w:trHeight w:val="213"/>
        </w:trPr>
        <w:tc>
          <w:tcPr>
            <w:tcW w:w="3080" w:type="dxa"/>
          </w:tcPr>
          <w:p w:rsidR="009E0C89" w:rsidRPr="00BF65C3" w:rsidRDefault="009E0C89" w:rsidP="00024054">
            <w:pPr>
              <w:pStyle w:val="TableTextbold"/>
            </w:pPr>
            <w:r w:rsidRPr="00BF65C3">
              <w:t>Business</w:t>
            </w:r>
          </w:p>
        </w:tc>
        <w:tc>
          <w:tcPr>
            <w:tcW w:w="3081" w:type="dxa"/>
          </w:tcPr>
          <w:p w:rsidR="009E0C89" w:rsidRPr="00BF65C3" w:rsidRDefault="009E0C89" w:rsidP="00024054">
            <w:pPr>
              <w:pStyle w:val="TableTextbold"/>
            </w:pPr>
            <w:r w:rsidRPr="00BF65C3">
              <w:t>Council staff resource (</w:t>
            </w:r>
            <w:r>
              <w:t>FTEs</w:t>
            </w:r>
            <w:r w:rsidRPr="00BF65C3">
              <w:t>)</w:t>
            </w:r>
          </w:p>
        </w:tc>
        <w:tc>
          <w:tcPr>
            <w:tcW w:w="3081" w:type="dxa"/>
          </w:tcPr>
          <w:p w:rsidR="009E0C89" w:rsidRPr="00BF65C3" w:rsidRDefault="009E0C89" w:rsidP="00024054">
            <w:pPr>
              <w:pStyle w:val="TableTextbold"/>
            </w:pPr>
            <w:r w:rsidRPr="00BF65C3">
              <w:t xml:space="preserve">Equivalent annual cost ($) </w:t>
            </w:r>
          </w:p>
        </w:tc>
      </w:tr>
      <w:tr w:rsidR="009E0C89" w:rsidTr="001B431E">
        <w:trPr>
          <w:trHeight w:val="309"/>
        </w:trPr>
        <w:tc>
          <w:tcPr>
            <w:tcW w:w="3080" w:type="dxa"/>
          </w:tcPr>
          <w:p w:rsidR="009E0C89" w:rsidRPr="00476B33" w:rsidRDefault="009E0C89" w:rsidP="00024054">
            <w:pPr>
              <w:pStyle w:val="Tabletext"/>
            </w:pPr>
            <w:r w:rsidRPr="00476B33">
              <w:t>Modelling</w:t>
            </w:r>
          </w:p>
        </w:tc>
        <w:tc>
          <w:tcPr>
            <w:tcW w:w="3081" w:type="dxa"/>
          </w:tcPr>
          <w:p w:rsidR="009E0C89" w:rsidRPr="00476B33" w:rsidRDefault="009E0C89" w:rsidP="00024054">
            <w:pPr>
              <w:pStyle w:val="Tabletext"/>
            </w:pPr>
            <w:r w:rsidRPr="00476B33">
              <w:t>0.05</w:t>
            </w:r>
          </w:p>
        </w:tc>
        <w:tc>
          <w:tcPr>
            <w:tcW w:w="3081" w:type="dxa"/>
          </w:tcPr>
          <w:p w:rsidR="009E0C89" w:rsidRPr="00476B33" w:rsidRDefault="009E0C89" w:rsidP="00024054">
            <w:pPr>
              <w:pStyle w:val="Tabletext"/>
            </w:pPr>
            <w:r w:rsidRPr="00476B33">
              <w:t>Up to $4,000</w:t>
            </w:r>
          </w:p>
        </w:tc>
      </w:tr>
      <w:tr w:rsidR="009E0C89" w:rsidTr="001B431E">
        <w:tc>
          <w:tcPr>
            <w:tcW w:w="3080" w:type="dxa"/>
          </w:tcPr>
          <w:p w:rsidR="009E0C89" w:rsidRPr="00476B33" w:rsidRDefault="009E0C89" w:rsidP="00024054">
            <w:pPr>
              <w:pStyle w:val="Tabletext"/>
            </w:pPr>
            <w:r w:rsidRPr="00476B33">
              <w:t xml:space="preserve">Monitoring </w:t>
            </w:r>
          </w:p>
        </w:tc>
        <w:tc>
          <w:tcPr>
            <w:tcW w:w="3081" w:type="dxa"/>
          </w:tcPr>
          <w:p w:rsidR="009E0C89" w:rsidRPr="00476B33" w:rsidRDefault="009E0C89" w:rsidP="00024054">
            <w:pPr>
              <w:pStyle w:val="Tabletext"/>
            </w:pPr>
            <w:r w:rsidRPr="00476B33">
              <w:t xml:space="preserve">0.05 </w:t>
            </w:r>
          </w:p>
        </w:tc>
        <w:tc>
          <w:tcPr>
            <w:tcW w:w="3081" w:type="dxa"/>
          </w:tcPr>
          <w:p w:rsidR="009E0C89" w:rsidRPr="00476B33" w:rsidRDefault="009E0C89" w:rsidP="00024054">
            <w:pPr>
              <w:pStyle w:val="Tabletext"/>
            </w:pPr>
            <w:r w:rsidRPr="00476B33">
              <w:t xml:space="preserve">Up to $4,000 </w:t>
            </w:r>
          </w:p>
        </w:tc>
      </w:tr>
    </w:tbl>
    <w:p w:rsidR="009E0C89" w:rsidRPr="00476B33" w:rsidRDefault="009E0C89" w:rsidP="00024054">
      <w:pPr>
        <w:pStyle w:val="BodyText"/>
      </w:pPr>
      <w:r w:rsidRPr="00476B33">
        <w:t>All councils agreed business development capacity is a complex issue that needs specialised economic inputs such as GDP forecasts, business productivities, changing labour force participation by sector</w:t>
      </w:r>
      <w:r>
        <w:t xml:space="preserve"> and</w:t>
      </w:r>
      <w:r w:rsidRPr="00476B33">
        <w:t xml:space="preserve"> business sector trends. For this reason councils typically used external </w:t>
      </w:r>
      <w:r>
        <w:t>consultant</w:t>
      </w:r>
      <w:r w:rsidRPr="00476B33">
        <w:t xml:space="preserve">s, and these external costs are not reflected in Table </w:t>
      </w:r>
      <w:r>
        <w:t>9</w:t>
      </w:r>
      <w:r w:rsidRPr="00476B33">
        <w:t xml:space="preserve"> as they are commercially sensitive. </w:t>
      </w:r>
    </w:p>
    <w:p w:rsidR="009E0C89" w:rsidRPr="00476B33" w:rsidRDefault="009E0C89" w:rsidP="00024054">
      <w:pPr>
        <w:pStyle w:val="BodyText"/>
      </w:pPr>
      <w:r w:rsidRPr="00476B33">
        <w:t>Councils do provide some base information to the consultants doing the forecasting, such as the location and land area (hectares) of business zoned land, but generally these inputs were minimal.</w:t>
      </w:r>
    </w:p>
    <w:p w:rsidR="009E0C89" w:rsidRDefault="009E0C89" w:rsidP="00024054">
      <w:pPr>
        <w:pStyle w:val="BodyText"/>
      </w:pPr>
      <w:r w:rsidRPr="00476B33">
        <w:t xml:space="preserve">Auckland Council advised </w:t>
      </w:r>
      <w:r>
        <w:t xml:space="preserve">that </w:t>
      </w:r>
      <w:r w:rsidRPr="00476B33">
        <w:t>their monitoring would need up to one FTE once the process was ‘up and running’, with an estimated annual cost of between $50,000 – $100,000.</w:t>
      </w:r>
    </w:p>
    <w:p w:rsidR="002915C6" w:rsidRDefault="002915C6">
      <w:pPr>
        <w:spacing w:before="0" w:after="200" w:line="276" w:lineRule="auto"/>
        <w:jc w:val="left"/>
        <w:rPr>
          <w:rFonts w:eastAsiaTheme="majorEastAsia" w:cstheme="majorBidi"/>
          <w:b/>
          <w:bCs/>
          <w:color w:val="E36F1E"/>
          <w:sz w:val="48"/>
          <w:szCs w:val="28"/>
        </w:rPr>
      </w:pPr>
      <w:bookmarkStart w:id="101" w:name="_Toc455072006"/>
      <w:r>
        <w:br w:type="page"/>
      </w:r>
    </w:p>
    <w:p w:rsidR="009E0C89" w:rsidRPr="002915C6" w:rsidRDefault="009E0C89" w:rsidP="001F23F2">
      <w:pPr>
        <w:pStyle w:val="Heading1"/>
        <w:numPr>
          <w:ilvl w:val="0"/>
          <w:numId w:val="29"/>
        </w:numPr>
      </w:pPr>
      <w:bookmarkStart w:id="102" w:name="_Toc455410537"/>
      <w:r w:rsidRPr="002915C6">
        <w:t xml:space="preserve">Peer review and transparency of </w:t>
      </w:r>
      <w:r w:rsidR="00024054">
        <w:tab/>
      </w:r>
      <w:r w:rsidRPr="002915C6">
        <w:t>information</w:t>
      </w:r>
      <w:bookmarkEnd w:id="102"/>
      <w:r w:rsidRPr="002915C6">
        <w:t xml:space="preserve"> </w:t>
      </w:r>
      <w:bookmarkEnd w:id="101"/>
    </w:p>
    <w:p w:rsidR="009E0C89" w:rsidRDefault="009E0C89" w:rsidP="00024054">
      <w:pPr>
        <w:pStyle w:val="BodyText"/>
      </w:pPr>
      <w:r w:rsidRPr="00476B33">
        <w:t xml:space="preserve">All councils </w:t>
      </w:r>
      <w:r>
        <w:t xml:space="preserve">surveyed </w:t>
      </w:r>
      <w:r w:rsidRPr="00476B33">
        <w:t>carr</w:t>
      </w:r>
      <w:r>
        <w:t>y</w:t>
      </w:r>
      <w:r w:rsidRPr="00476B33">
        <w:t xml:space="preserve"> out peer reviews of their residential and business forecasts, though the extent of this varied.</w:t>
      </w:r>
      <w:r>
        <w:t xml:space="preserve"> </w:t>
      </w:r>
      <w:r w:rsidRPr="00476B33">
        <w:t xml:space="preserve">Work by external consultants </w:t>
      </w:r>
      <w:r>
        <w:t xml:space="preserve">is </w:t>
      </w:r>
      <w:r w:rsidRPr="00476B33">
        <w:t xml:space="preserve">not typically peer reviewed in detail by councils. </w:t>
      </w:r>
    </w:p>
    <w:p w:rsidR="009E0C89" w:rsidRPr="00476B33" w:rsidRDefault="009E0C89" w:rsidP="00024054">
      <w:pPr>
        <w:pStyle w:val="BodyText"/>
      </w:pPr>
      <w:r w:rsidRPr="00476B33">
        <w:t xml:space="preserve">Forecasts generated by councils </w:t>
      </w:r>
      <w:r>
        <w:t xml:space="preserve">are typically </w:t>
      </w:r>
      <w:r w:rsidRPr="00476B33">
        <w:t>internally reviewed by a council planner rather than an external expert.</w:t>
      </w:r>
      <w:r>
        <w:t xml:space="preserve"> The </w:t>
      </w:r>
      <w:r w:rsidRPr="00476B33">
        <w:t xml:space="preserve">review is focused on the extent to which the results can be used for planning purposes, or </w:t>
      </w:r>
      <w:r>
        <w:t xml:space="preserve">whether </w:t>
      </w:r>
      <w:r w:rsidRPr="00476B33">
        <w:t xml:space="preserve">they address a specific issue, rather than being a critique of the forecasting inputs and assumptions. </w:t>
      </w:r>
    </w:p>
    <w:p w:rsidR="009E0C89" w:rsidRPr="00476B33" w:rsidRDefault="00024054" w:rsidP="003A4A32">
      <w:pPr>
        <w:pStyle w:val="Heading2"/>
      </w:pPr>
      <w:bookmarkStart w:id="103" w:name="_Toc450660808"/>
      <w:bookmarkStart w:id="104" w:name="_Toc451436479"/>
      <w:bookmarkStart w:id="105" w:name="_Toc455072007"/>
      <w:bookmarkStart w:id="106" w:name="_Toc455410538"/>
      <w:bookmarkEnd w:id="88"/>
      <w:bookmarkEnd w:id="89"/>
      <w:r>
        <w:t>10.1</w:t>
      </w:r>
      <w:r>
        <w:tab/>
      </w:r>
      <w:r w:rsidR="009E0C89" w:rsidRPr="00476B33">
        <w:t>Transparency of process and reporting</w:t>
      </w:r>
      <w:bookmarkEnd w:id="103"/>
      <w:bookmarkEnd w:id="104"/>
      <w:bookmarkEnd w:id="105"/>
      <w:bookmarkEnd w:id="106"/>
    </w:p>
    <w:p w:rsidR="009E0C89" w:rsidRPr="00476B33" w:rsidRDefault="009E0C89" w:rsidP="00024054">
      <w:pPr>
        <w:pStyle w:val="BodyText"/>
      </w:pPr>
      <w:r w:rsidRPr="00476B33">
        <w:t>All councils make details of their assumptions and processes publicly available, in publications and on their websites, though some participants said these can be difficult to find.</w:t>
      </w:r>
      <w:r>
        <w:t xml:space="preserve"> </w:t>
      </w:r>
      <w:r w:rsidRPr="00476B33">
        <w:t>Councils also provide this information in response to specific requests.</w:t>
      </w:r>
      <w:r>
        <w:t xml:space="preserve"> </w:t>
      </w:r>
      <w:r w:rsidRPr="00476B33">
        <w:t xml:space="preserve"> </w:t>
      </w:r>
    </w:p>
    <w:p w:rsidR="009E0C89" w:rsidRPr="00476B33" w:rsidRDefault="009E0C89" w:rsidP="00024054">
      <w:pPr>
        <w:pStyle w:val="BodyText"/>
      </w:pPr>
      <w:r w:rsidRPr="00476B33">
        <w:t>All councils felt they achieved a high level of openness and transparency across all aspects of managing growth, policy responses and plan changes,</w:t>
      </w:r>
      <w:r>
        <w:t xml:space="preserve"> </w:t>
      </w:r>
      <w:r w:rsidRPr="00476B33">
        <w:t>as required under the Resource Management Act</w:t>
      </w:r>
      <w:r>
        <w:t xml:space="preserve"> and other Acts (such as the Local Government Act)</w:t>
      </w:r>
      <w:r w:rsidRPr="00476B33">
        <w:t>. This applied throughout the forecasting process, from the inputs and methods applied, through to how policy is developed (and the issues the policy was responding to), and the information made available to councillors in the decision-making process.</w:t>
      </w:r>
    </w:p>
    <w:p w:rsidR="002915C6" w:rsidRDefault="002915C6">
      <w:pPr>
        <w:spacing w:before="0" w:after="200" w:line="276" w:lineRule="auto"/>
        <w:jc w:val="left"/>
        <w:rPr>
          <w:rFonts w:eastAsiaTheme="majorEastAsia" w:cstheme="majorBidi"/>
          <w:b/>
          <w:bCs/>
          <w:color w:val="E36F1E"/>
          <w:sz w:val="48"/>
          <w:szCs w:val="28"/>
        </w:rPr>
      </w:pPr>
      <w:bookmarkStart w:id="107" w:name="_Toc450660809"/>
      <w:bookmarkStart w:id="108" w:name="_Toc451436480"/>
      <w:bookmarkStart w:id="109" w:name="_Toc455072008"/>
      <w:r>
        <w:br w:type="page"/>
      </w:r>
    </w:p>
    <w:p w:rsidR="009E0C89" w:rsidRPr="002915C6" w:rsidRDefault="009E0C89" w:rsidP="001F23F2">
      <w:pPr>
        <w:pStyle w:val="Heading1"/>
        <w:numPr>
          <w:ilvl w:val="0"/>
          <w:numId w:val="29"/>
        </w:numPr>
      </w:pPr>
      <w:bookmarkStart w:id="110" w:name="_Toc455410539"/>
      <w:r w:rsidRPr="002915C6">
        <w:t xml:space="preserve">Suggestions for the national policy </w:t>
      </w:r>
      <w:r w:rsidR="00024054">
        <w:tab/>
      </w:r>
      <w:r w:rsidRPr="002915C6">
        <w:t>statement</w:t>
      </w:r>
      <w:bookmarkEnd w:id="107"/>
      <w:bookmarkEnd w:id="108"/>
      <w:bookmarkEnd w:id="109"/>
      <w:bookmarkEnd w:id="110"/>
    </w:p>
    <w:p w:rsidR="009E0C89" w:rsidRPr="00476B33" w:rsidRDefault="009E0C89" w:rsidP="00024054">
      <w:pPr>
        <w:pStyle w:val="BodyText"/>
      </w:pPr>
      <w:r w:rsidRPr="00476B33">
        <w:t xml:space="preserve">While not a focus of the survey, around half </w:t>
      </w:r>
      <w:r>
        <w:t xml:space="preserve">of </w:t>
      </w:r>
      <w:r w:rsidRPr="00476B33">
        <w:t xml:space="preserve">the </w:t>
      </w:r>
      <w:r>
        <w:t xml:space="preserve">interviewees offered their </w:t>
      </w:r>
      <w:r w:rsidRPr="00476B33">
        <w:t>view</w:t>
      </w:r>
      <w:r>
        <w:t>s</w:t>
      </w:r>
      <w:r w:rsidRPr="00476B33">
        <w:t xml:space="preserve"> on the usefulness of a </w:t>
      </w:r>
      <w:r>
        <w:t>n</w:t>
      </w:r>
      <w:r w:rsidRPr="00476B33">
        <w:t xml:space="preserve">ational </w:t>
      </w:r>
      <w:r>
        <w:t>p</w:t>
      </w:r>
      <w:r w:rsidRPr="00476B33">
        <w:t xml:space="preserve">olicy </w:t>
      </w:r>
      <w:r>
        <w:t>s</w:t>
      </w:r>
      <w:r w:rsidRPr="00476B33">
        <w:t>tatement for forecasting residential and business land demand and monitoring capacity</w:t>
      </w:r>
      <w:r>
        <w:t>. As with the rest of the views, it should be stressed that these were their personal views and not necessarily the views of the councils they are employed by</w:t>
      </w:r>
      <w:r w:rsidRPr="00476B33">
        <w:t xml:space="preserve">. </w:t>
      </w:r>
    </w:p>
    <w:p w:rsidR="009E0C89" w:rsidRPr="00476B33" w:rsidRDefault="009E0C89" w:rsidP="00024054">
      <w:pPr>
        <w:pStyle w:val="BodyText"/>
      </w:pPr>
      <w:r>
        <w:t>Interviewee</w:t>
      </w:r>
      <w:r w:rsidRPr="00476B33">
        <w:t xml:space="preserve">s thought that any </w:t>
      </w:r>
      <w:r>
        <w:t>n</w:t>
      </w:r>
      <w:r w:rsidRPr="00476B33">
        <w:t xml:space="preserve">ational </w:t>
      </w:r>
      <w:r>
        <w:t>p</w:t>
      </w:r>
      <w:r w:rsidRPr="00476B33">
        <w:t xml:space="preserve">olicy </w:t>
      </w:r>
      <w:r>
        <w:t>s</w:t>
      </w:r>
      <w:r w:rsidRPr="00476B33">
        <w:t xml:space="preserve">tatement would need to be carefully balanced. If it was too high level, it would not provide enough guidance; if too prescriptive, it could lead to inappropriate decisions </w:t>
      </w:r>
      <w:r>
        <w:t xml:space="preserve">and </w:t>
      </w:r>
      <w:r w:rsidRPr="00476B33">
        <w:t>policy outcomes. It would need to be flexible enough for local issues to be taken into account.</w:t>
      </w:r>
      <w:r>
        <w:t xml:space="preserve"> </w:t>
      </w:r>
    </w:p>
    <w:p w:rsidR="009E0C89" w:rsidRDefault="009E0C89" w:rsidP="00024054">
      <w:pPr>
        <w:pStyle w:val="BodyText"/>
      </w:pPr>
      <w:r>
        <w:t>In addition, some interviewees thought that a</w:t>
      </w:r>
      <w:r w:rsidRPr="00476B33">
        <w:t xml:space="preserve"> </w:t>
      </w:r>
      <w:r>
        <w:t>n</w:t>
      </w:r>
      <w:r w:rsidRPr="00476B33">
        <w:t xml:space="preserve">ational </w:t>
      </w:r>
      <w:r>
        <w:t>p</w:t>
      </w:r>
      <w:r w:rsidRPr="00476B33">
        <w:t xml:space="preserve">olicy </w:t>
      </w:r>
      <w:r>
        <w:t>s</w:t>
      </w:r>
      <w:r w:rsidRPr="00476B33">
        <w:t>tatement should focus on what good analysis needs to do,</w:t>
      </w:r>
      <w:r>
        <w:t xml:space="preserve"> that is:</w:t>
      </w:r>
    </w:p>
    <w:p w:rsidR="009E0C89" w:rsidRDefault="009E0C89" w:rsidP="00024054">
      <w:pPr>
        <w:pStyle w:val="Bullet"/>
      </w:pPr>
      <w:r w:rsidRPr="00C53DD7">
        <w:t xml:space="preserve">using a range of estimates of population growth, </w:t>
      </w:r>
    </w:p>
    <w:p w:rsidR="009E0C89" w:rsidRPr="00C53DD7" w:rsidRDefault="009E0C89" w:rsidP="00024054">
      <w:pPr>
        <w:pStyle w:val="Bullet"/>
      </w:pPr>
      <w:r w:rsidRPr="00C53DD7">
        <w:t>using robust assumptions</w:t>
      </w:r>
    </w:p>
    <w:p w:rsidR="009E0C89" w:rsidRDefault="009E0C89" w:rsidP="00024054">
      <w:pPr>
        <w:pStyle w:val="Bullet"/>
      </w:pPr>
      <w:r>
        <w:t xml:space="preserve">including </w:t>
      </w:r>
      <w:r w:rsidRPr="00476B33">
        <w:t xml:space="preserve">both greenfield </w:t>
      </w:r>
      <w:r>
        <w:t xml:space="preserve">development </w:t>
      </w:r>
      <w:r w:rsidRPr="00476B33">
        <w:t>capacity</w:t>
      </w:r>
      <w:r>
        <w:t xml:space="preserve"> and development capacity in existing urban areas </w:t>
      </w:r>
    </w:p>
    <w:p w:rsidR="009E0C89" w:rsidRDefault="009E0C89" w:rsidP="00024054">
      <w:pPr>
        <w:pStyle w:val="Bullet"/>
      </w:pPr>
      <w:r>
        <w:t xml:space="preserve">having </w:t>
      </w:r>
      <w:r w:rsidRPr="00476B33">
        <w:t>robust monitoring systems</w:t>
      </w:r>
    </w:p>
    <w:p w:rsidR="009E0C89" w:rsidRDefault="009E0C89" w:rsidP="00024054">
      <w:pPr>
        <w:pStyle w:val="Bullet"/>
      </w:pPr>
      <w:r w:rsidRPr="002B1B2F">
        <w:t xml:space="preserve">acknowledging </w:t>
      </w:r>
      <w:r>
        <w:t>areas</w:t>
      </w:r>
      <w:r w:rsidRPr="002B1B2F">
        <w:t xml:space="preserve"> that do not have </w:t>
      </w:r>
      <w:r>
        <w:t xml:space="preserve">well </w:t>
      </w:r>
      <w:r w:rsidRPr="002B1B2F">
        <w:t>defined employment or housing market</w:t>
      </w:r>
      <w:r>
        <w:t>s</w:t>
      </w:r>
    </w:p>
    <w:p w:rsidR="009E0C89" w:rsidRPr="00476B33" w:rsidRDefault="009E0C89" w:rsidP="00024054">
      <w:pPr>
        <w:pStyle w:val="Bullet"/>
      </w:pPr>
      <w:proofErr w:type="gramStart"/>
      <w:r w:rsidRPr="00476B33">
        <w:t>address</w:t>
      </w:r>
      <w:r>
        <w:t>ing</w:t>
      </w:r>
      <w:proofErr w:type="gramEnd"/>
      <w:r>
        <w:t xml:space="preserve"> the</w:t>
      </w:r>
      <w:r w:rsidRPr="00476B33">
        <w:t xml:space="preserve"> feasibility of development.</w:t>
      </w:r>
    </w:p>
    <w:p w:rsidR="009E0C89" w:rsidRDefault="009E0C89" w:rsidP="00024054">
      <w:pPr>
        <w:pStyle w:val="BodyText"/>
      </w:pPr>
    </w:p>
    <w:p w:rsidR="002915C6" w:rsidRDefault="002915C6">
      <w:pPr>
        <w:spacing w:before="0" w:after="200" w:line="276" w:lineRule="auto"/>
        <w:jc w:val="left"/>
        <w:rPr>
          <w:rFonts w:eastAsiaTheme="majorEastAsia" w:cstheme="majorBidi"/>
          <w:b/>
          <w:bCs/>
          <w:color w:val="E36F1E"/>
          <w:sz w:val="48"/>
          <w:szCs w:val="28"/>
        </w:rPr>
      </w:pPr>
      <w:bookmarkStart w:id="111" w:name="_Toc450660810"/>
      <w:bookmarkStart w:id="112" w:name="_Toc451436481"/>
      <w:bookmarkStart w:id="113" w:name="_Toc455072009"/>
      <w:r>
        <w:br w:type="page"/>
      </w:r>
    </w:p>
    <w:p w:rsidR="009E0C89" w:rsidRPr="002915C6" w:rsidRDefault="009E0C89" w:rsidP="001F23F2">
      <w:pPr>
        <w:pStyle w:val="Heading1"/>
        <w:numPr>
          <w:ilvl w:val="0"/>
          <w:numId w:val="29"/>
        </w:numPr>
      </w:pPr>
      <w:bookmarkStart w:id="114" w:name="_Toc455410540"/>
      <w:r w:rsidRPr="002915C6">
        <w:t>Conclusions</w:t>
      </w:r>
      <w:bookmarkEnd w:id="111"/>
      <w:bookmarkEnd w:id="112"/>
      <w:bookmarkEnd w:id="113"/>
      <w:bookmarkEnd w:id="114"/>
    </w:p>
    <w:p w:rsidR="009E0C89" w:rsidRPr="00476B33" w:rsidRDefault="009E0C89" w:rsidP="00024054">
      <w:pPr>
        <w:pStyle w:val="BodyText"/>
      </w:pPr>
      <w:r>
        <w:t xml:space="preserve">In general, </w:t>
      </w:r>
      <w:r w:rsidRPr="00476B33">
        <w:t xml:space="preserve">residential and business land demand forecasting and capacity analysis </w:t>
      </w:r>
      <w:r>
        <w:t xml:space="preserve">is an important </w:t>
      </w:r>
      <w:r w:rsidRPr="00476B33">
        <w:t>tool and a ‘foundation stone’ for strategic planning</w:t>
      </w:r>
      <w:r w:rsidRPr="00E3308A">
        <w:t xml:space="preserve"> </w:t>
      </w:r>
      <w:r>
        <w:t>by council</w:t>
      </w:r>
      <w:r w:rsidRPr="00476B33">
        <w:t xml:space="preserve">. </w:t>
      </w:r>
      <w:r>
        <w:t xml:space="preserve">The main purpose of </w:t>
      </w:r>
      <w:r w:rsidRPr="00476B33">
        <w:t xml:space="preserve">is </w:t>
      </w:r>
      <w:r>
        <w:t xml:space="preserve">generally to </w:t>
      </w:r>
      <w:r w:rsidRPr="00476B33">
        <w:t>manage the direction of projected growth.</w:t>
      </w:r>
    </w:p>
    <w:p w:rsidR="009E0C89" w:rsidRPr="00476B33" w:rsidRDefault="009E0C89" w:rsidP="00024054">
      <w:pPr>
        <w:pStyle w:val="BodyText"/>
      </w:pPr>
      <w:r w:rsidRPr="00476B33">
        <w:t xml:space="preserve">While the outputs </w:t>
      </w:r>
      <w:r>
        <w:t xml:space="preserve">of </w:t>
      </w:r>
      <w:r w:rsidRPr="00476B33">
        <w:t xml:space="preserve">forecasting and analysis </w:t>
      </w:r>
      <w:r>
        <w:t xml:space="preserve">are important </w:t>
      </w:r>
      <w:r w:rsidRPr="00476B33">
        <w:t xml:space="preserve">for strategic planning and decision-making </w:t>
      </w:r>
      <w:r>
        <w:t>by councils</w:t>
      </w:r>
      <w:r w:rsidRPr="00476B33">
        <w:t xml:space="preserve">, </w:t>
      </w:r>
      <w:r>
        <w:t xml:space="preserve">it appears that </w:t>
      </w:r>
      <w:r w:rsidRPr="00476B33">
        <w:t xml:space="preserve">there </w:t>
      </w:r>
      <w:r>
        <w:t>are</w:t>
      </w:r>
      <w:r w:rsidRPr="00476B33">
        <w:t xml:space="preserve"> differences in the weight given to these outputs. </w:t>
      </w:r>
      <w:r>
        <w:t xml:space="preserve">It is possible that </w:t>
      </w:r>
      <w:r w:rsidRPr="00476B33">
        <w:t xml:space="preserve">councillors </w:t>
      </w:r>
      <w:r>
        <w:t xml:space="preserve">do </w:t>
      </w:r>
      <w:r w:rsidRPr="00476B33">
        <w:t xml:space="preserve">not place as high a value on the </w:t>
      </w:r>
      <w:r>
        <w:t>information</w:t>
      </w:r>
      <w:r w:rsidRPr="00476B33">
        <w:t>, because of the wider range of issues that influence their decisions. Nevertheless</w:t>
      </w:r>
      <w:r>
        <w:t>,</w:t>
      </w:r>
      <w:r w:rsidRPr="00476B33">
        <w:t xml:space="preserve"> all participants recognised these outputs as a core base of information on which </w:t>
      </w:r>
      <w:r>
        <w:t>c</w:t>
      </w:r>
      <w:r w:rsidRPr="00476B33">
        <w:t>ouncillors made their decisions.</w:t>
      </w:r>
      <w:r>
        <w:t xml:space="preserve"> For example, some of the interviewees noted that the information may not always show up in section 32 reports, and that they therefore lacked a supporting rationale for the policy</w:t>
      </w:r>
      <w:r w:rsidRPr="00476B33">
        <w:t xml:space="preserve">. </w:t>
      </w:r>
    </w:p>
    <w:p w:rsidR="009E0C89" w:rsidRPr="00476B33" w:rsidRDefault="009E0C89" w:rsidP="00024054">
      <w:pPr>
        <w:pStyle w:val="BodyText"/>
      </w:pPr>
      <w:r>
        <w:t>M</w:t>
      </w:r>
      <w:r w:rsidRPr="00476B33">
        <w:t xml:space="preserve">ore complex </w:t>
      </w:r>
      <w:r>
        <w:t>analysis, including modelling which looks at economic concepts such as changing development feasibility over time</w:t>
      </w:r>
      <w:r w:rsidRPr="00476B33">
        <w:t xml:space="preserve"> (</w:t>
      </w:r>
      <w:proofErr w:type="spellStart"/>
      <w:r w:rsidRPr="00476B33">
        <w:t>e</w:t>
      </w:r>
      <w:r w:rsidR="00AF084F">
        <w:t>g</w:t>
      </w:r>
      <w:proofErr w:type="spellEnd"/>
      <w:r w:rsidR="00AF084F">
        <w:t>,</w:t>
      </w:r>
      <w:r w:rsidRPr="00476B33">
        <w:t xml:space="preserve"> </w:t>
      </w:r>
      <w:r>
        <w:t>some of the outputs of the expert conferencing</w:t>
      </w:r>
      <w:r w:rsidRPr="00476B33">
        <w:t xml:space="preserve"> </w:t>
      </w:r>
      <w:r>
        <w:t>carried out for the PAUP</w:t>
      </w:r>
      <w:r w:rsidRPr="00476B33">
        <w:t xml:space="preserve">) </w:t>
      </w:r>
      <w:r>
        <w:t xml:space="preserve">will </w:t>
      </w:r>
      <w:r w:rsidRPr="00476B33">
        <w:t xml:space="preserve">increase the challenge for </w:t>
      </w:r>
      <w:r>
        <w:t xml:space="preserve">councils and </w:t>
      </w:r>
      <w:r w:rsidRPr="00476B33">
        <w:t>decision-makers</w:t>
      </w:r>
      <w:r>
        <w:t xml:space="preserve"> in appropriately interpreting the information</w:t>
      </w:r>
      <w:r w:rsidRPr="00476B33">
        <w:t>.</w:t>
      </w:r>
      <w:r>
        <w:t xml:space="preserve"> </w:t>
      </w:r>
    </w:p>
    <w:p w:rsidR="009E0C89" w:rsidRPr="00476B33" w:rsidRDefault="009E0C89" w:rsidP="00024054">
      <w:pPr>
        <w:pStyle w:val="BodyText"/>
      </w:pPr>
      <w:r w:rsidRPr="00476B33">
        <w:t xml:space="preserve">The degree of sophistication in </w:t>
      </w:r>
      <w:r>
        <w:t xml:space="preserve">the </w:t>
      </w:r>
      <w:r w:rsidRPr="00476B33">
        <w:t xml:space="preserve">modelling </w:t>
      </w:r>
      <w:r>
        <w:t xml:space="preserve">of residential demand and development capacity </w:t>
      </w:r>
      <w:r w:rsidRPr="00476B33">
        <w:t>varie</w:t>
      </w:r>
      <w:r>
        <w:t>s</w:t>
      </w:r>
      <w:r w:rsidRPr="00476B33">
        <w:t xml:space="preserve"> between councils</w:t>
      </w:r>
      <w:r>
        <w:t>.</w:t>
      </w:r>
      <w:r w:rsidRPr="00476B33">
        <w:t xml:space="preserve"> </w:t>
      </w:r>
      <w:r>
        <w:t xml:space="preserve">It tends to be </w:t>
      </w:r>
      <w:r w:rsidRPr="00476B33">
        <w:t xml:space="preserve">closely aligned to the magnitude of the growth facing a particular </w:t>
      </w:r>
      <w:r>
        <w:t>c</w:t>
      </w:r>
      <w:r w:rsidRPr="00476B33">
        <w:t>ouncil</w:t>
      </w:r>
      <w:r>
        <w:t>.</w:t>
      </w:r>
      <w:r w:rsidRPr="00476B33">
        <w:t xml:space="preserve"> </w:t>
      </w:r>
      <w:r>
        <w:t>T</w:t>
      </w:r>
      <w:r w:rsidRPr="00476B33">
        <w:t>o a lesser extent,</w:t>
      </w:r>
      <w:r>
        <w:t xml:space="preserve"> it was also impacted by</w:t>
      </w:r>
      <w:r w:rsidRPr="00476B33">
        <w:t xml:space="preserve"> the size of council and council area. </w:t>
      </w:r>
      <w:r>
        <w:t xml:space="preserve">Larger </w:t>
      </w:r>
      <w:r w:rsidRPr="00476B33">
        <w:t xml:space="preserve">councils </w:t>
      </w:r>
      <w:r>
        <w:t xml:space="preserve">tend to devote more resources to this work and use </w:t>
      </w:r>
      <w:r w:rsidRPr="00476B33">
        <w:t xml:space="preserve">a wider range of inputs (and input detail), whereas smaller councils </w:t>
      </w:r>
      <w:r>
        <w:t>use</w:t>
      </w:r>
      <w:r w:rsidRPr="00476B33">
        <w:t xml:space="preserve"> more basic inputs and methodologies. </w:t>
      </w:r>
    </w:p>
    <w:p w:rsidR="009E0C89" w:rsidRPr="00476B33" w:rsidRDefault="009E0C89" w:rsidP="00024054">
      <w:pPr>
        <w:pStyle w:val="BodyText"/>
      </w:pPr>
      <w:r>
        <w:t>Analysis of b</w:t>
      </w:r>
      <w:r w:rsidRPr="00476B33">
        <w:t xml:space="preserve">usiness land demand and development capacity </w:t>
      </w:r>
      <w:r>
        <w:t xml:space="preserve">does not appear to be highly </w:t>
      </w:r>
      <w:r w:rsidRPr="00476B33">
        <w:t>priorit</w:t>
      </w:r>
      <w:r>
        <w:t>ised</w:t>
      </w:r>
      <w:r w:rsidRPr="00476B33">
        <w:t xml:space="preserve"> for most </w:t>
      </w:r>
      <w:proofErr w:type="gramStart"/>
      <w:r>
        <w:t>c</w:t>
      </w:r>
      <w:r w:rsidRPr="00476B33">
        <w:t>ouncil</w:t>
      </w:r>
      <w:r>
        <w:t>s</w:t>
      </w:r>
      <w:proofErr w:type="gramEnd"/>
      <w:r>
        <w:t xml:space="preserve"> surveyed. Communities are </w:t>
      </w:r>
      <w:r w:rsidRPr="00476B33">
        <w:t xml:space="preserve">generally more sensitive </w:t>
      </w:r>
      <w:r>
        <w:t xml:space="preserve">to </w:t>
      </w:r>
      <w:r w:rsidRPr="00476B33">
        <w:t xml:space="preserve">and invested in </w:t>
      </w:r>
      <w:r>
        <w:t>housing</w:t>
      </w:r>
      <w:r w:rsidRPr="00476B33">
        <w:t xml:space="preserve">, and as a result </w:t>
      </w:r>
      <w:r>
        <w:t xml:space="preserve">the </w:t>
      </w:r>
      <w:r w:rsidRPr="00476B33">
        <w:t xml:space="preserve">political </w:t>
      </w:r>
      <w:r>
        <w:t xml:space="preserve">interest in this information is </w:t>
      </w:r>
      <w:r w:rsidRPr="00476B33">
        <w:t>higher.</w:t>
      </w:r>
      <w:r>
        <w:t xml:space="preserve"> </w:t>
      </w:r>
    </w:p>
    <w:p w:rsidR="009E0C89" w:rsidRPr="00476B33" w:rsidRDefault="009E0C89" w:rsidP="00024054">
      <w:pPr>
        <w:pStyle w:val="BodyText"/>
      </w:pPr>
      <w:r>
        <w:t>T</w:t>
      </w:r>
      <w:r w:rsidRPr="00476B33">
        <w:t xml:space="preserve">he dominant focus </w:t>
      </w:r>
      <w:r>
        <w:t>o</w:t>
      </w:r>
      <w:r w:rsidRPr="00476B33">
        <w:t xml:space="preserve">f the </w:t>
      </w:r>
      <w:r>
        <w:t xml:space="preserve">analysis of </w:t>
      </w:r>
      <w:r w:rsidRPr="00476B33">
        <w:t xml:space="preserve">business land demand undertaken by </w:t>
      </w:r>
      <w:r>
        <w:t>the c</w:t>
      </w:r>
      <w:r w:rsidRPr="00476B33">
        <w:t>ouncil</w:t>
      </w:r>
      <w:r>
        <w:t>s surveyed</w:t>
      </w:r>
      <w:r w:rsidRPr="00476B33">
        <w:t xml:space="preserve"> (or </w:t>
      </w:r>
      <w:r>
        <w:t xml:space="preserve">by </w:t>
      </w:r>
      <w:r w:rsidRPr="00476B33">
        <w:t>external consultants</w:t>
      </w:r>
      <w:r>
        <w:t xml:space="preserve"> on behalf of councils</w:t>
      </w:r>
      <w:r w:rsidRPr="00476B33">
        <w:t xml:space="preserve">) </w:t>
      </w:r>
      <w:r>
        <w:t xml:space="preserve">that appears to be </w:t>
      </w:r>
      <w:r w:rsidRPr="00476B33">
        <w:t xml:space="preserve">on retail </w:t>
      </w:r>
      <w:r>
        <w:t>activities</w:t>
      </w:r>
      <w:r w:rsidRPr="00476B33">
        <w:t>.</w:t>
      </w:r>
      <w:r>
        <w:t xml:space="preserve"> This does not appear to be a decision based on issues with a lack of supply, but instead rather a consequence of the fact that councils </w:t>
      </w:r>
      <w:r w:rsidRPr="00476B33">
        <w:t>consider</w:t>
      </w:r>
      <w:r>
        <w:t xml:space="preserve"> that retail activity has </w:t>
      </w:r>
      <w:r w:rsidRPr="00476B33">
        <w:t xml:space="preserve">more fundamental impacts on </w:t>
      </w:r>
      <w:r>
        <w:t>the</w:t>
      </w:r>
      <w:r w:rsidRPr="00476B33">
        <w:t xml:space="preserve"> wellbeing</w:t>
      </w:r>
      <w:r>
        <w:t xml:space="preserve"> of communities</w:t>
      </w:r>
      <w:r w:rsidRPr="00476B33">
        <w:t xml:space="preserve">, and </w:t>
      </w:r>
      <w:r>
        <w:t>more environmental effects (which is after all the premise of the RMA)</w:t>
      </w:r>
      <w:r w:rsidRPr="00476B33">
        <w:t>.</w:t>
      </w:r>
    </w:p>
    <w:p w:rsidR="009E0C89" w:rsidRPr="00476B33" w:rsidRDefault="009E0C89" w:rsidP="00024054">
      <w:pPr>
        <w:pStyle w:val="BodyText"/>
      </w:pPr>
      <w:r w:rsidRPr="00476B33">
        <w:t xml:space="preserve">All business land demand forecasting </w:t>
      </w:r>
      <w:r w:rsidR="00024054">
        <w:t xml:space="preserve">based </w:t>
      </w:r>
      <w:r>
        <w:t xml:space="preserve">is </w:t>
      </w:r>
      <w:r w:rsidRPr="00476B33">
        <w:t>theoretically based</w:t>
      </w:r>
      <w:r>
        <w:t>,</w:t>
      </w:r>
      <w:r w:rsidRPr="00476B33">
        <w:t xml:space="preserve"> </w:t>
      </w:r>
      <w:r>
        <w:t>and it appears there is limited information was gathered by direct observation</w:t>
      </w:r>
      <w:r w:rsidR="00024054">
        <w:t xml:space="preserve"> </w:t>
      </w:r>
      <w:r>
        <w:t xml:space="preserve">testing of the </w:t>
      </w:r>
      <w:r w:rsidRPr="00476B33">
        <w:t xml:space="preserve">commercial </w:t>
      </w:r>
      <w:r>
        <w:t>feasibility</w:t>
      </w:r>
      <w:r w:rsidRPr="00476B33">
        <w:t xml:space="preserve"> of </w:t>
      </w:r>
      <w:r>
        <w:t xml:space="preserve">development </w:t>
      </w:r>
      <w:r w:rsidRPr="00476B33">
        <w:t xml:space="preserve">capacity. </w:t>
      </w:r>
    </w:p>
    <w:p w:rsidR="009E0C89" w:rsidRPr="00476B33" w:rsidRDefault="009E0C89" w:rsidP="00024054">
      <w:pPr>
        <w:pStyle w:val="BodyText"/>
      </w:pPr>
      <w:r>
        <w:t>All of the c</w:t>
      </w:r>
      <w:r w:rsidRPr="00476B33">
        <w:t xml:space="preserve">ouncils </w:t>
      </w:r>
      <w:r>
        <w:t xml:space="preserve">surveyed </w:t>
      </w:r>
      <w:r w:rsidRPr="00476B33">
        <w:t>(</w:t>
      </w:r>
      <w:r>
        <w:t xml:space="preserve">with the </w:t>
      </w:r>
      <w:r w:rsidRPr="00476B33">
        <w:t xml:space="preserve">exception </w:t>
      </w:r>
      <w:r>
        <w:t xml:space="preserve">of </w:t>
      </w:r>
      <w:r w:rsidRPr="00476B33">
        <w:t xml:space="preserve">Auckland and Greater Christchurch) focused industrial land demand forecasting on </w:t>
      </w:r>
      <w:proofErr w:type="gramStart"/>
      <w:r w:rsidRPr="00476B33">
        <w:t>greenfield</w:t>
      </w:r>
      <w:proofErr w:type="gramEnd"/>
      <w:r w:rsidRPr="00476B33">
        <w:t xml:space="preserve"> land. Auckland and Greater Christchurch incorporated plan</w:t>
      </w:r>
      <w:r>
        <w:t>-</w:t>
      </w:r>
      <w:r w:rsidRPr="00476B33">
        <w:t xml:space="preserve">enabled capacity within existing </w:t>
      </w:r>
      <w:r>
        <w:t xml:space="preserve">urban </w:t>
      </w:r>
      <w:r w:rsidRPr="00476B33">
        <w:t>areas.</w:t>
      </w:r>
      <w:r>
        <w:t xml:space="preserve"> </w:t>
      </w:r>
    </w:p>
    <w:p w:rsidR="009E0C89" w:rsidRPr="00476B33" w:rsidRDefault="009E0C89" w:rsidP="00024054">
      <w:pPr>
        <w:pStyle w:val="BodyText"/>
      </w:pPr>
      <w:r>
        <w:t>Finally, there appears to be good transparency</w:t>
      </w:r>
      <w:r w:rsidRPr="00476B33">
        <w:t xml:space="preserve"> </w:t>
      </w:r>
      <w:r>
        <w:t xml:space="preserve">of the information that is derived </w:t>
      </w:r>
      <w:r w:rsidRPr="00476B33">
        <w:t xml:space="preserve">from forecasting inputs and methodologies applied, </w:t>
      </w:r>
      <w:r>
        <w:t xml:space="preserve">which is consistent with common council practice. However, sometimes information can be difficult to find. </w:t>
      </w:r>
    </w:p>
    <w:p w:rsidR="009E0C89" w:rsidRDefault="009E0C89" w:rsidP="009E0C89">
      <w:r>
        <w:br w:type="page"/>
      </w:r>
    </w:p>
    <w:p w:rsidR="009E0C89" w:rsidRPr="002915C6" w:rsidRDefault="009E0C89" w:rsidP="002915C6">
      <w:pPr>
        <w:pStyle w:val="Heading1"/>
      </w:pPr>
      <w:bookmarkStart w:id="115" w:name="_Appendix_1:_Key"/>
      <w:bookmarkStart w:id="116" w:name="_Toc455072010"/>
      <w:bookmarkStart w:id="117" w:name="_Toc455410541"/>
      <w:bookmarkEnd w:id="115"/>
      <w:r w:rsidRPr="002915C6">
        <w:t>Appendix 1: Key informants</w:t>
      </w:r>
      <w:bookmarkEnd w:id="116"/>
      <w:bookmarkEnd w:id="117"/>
    </w:p>
    <w:p w:rsidR="009E0C89" w:rsidRPr="00294432" w:rsidRDefault="009E0C89" w:rsidP="00024054">
      <w:pPr>
        <w:pStyle w:val="Bullet"/>
      </w:pPr>
      <w:r w:rsidRPr="00294432">
        <w:t>Greater Wellington – Nick Sargent</w:t>
      </w:r>
    </w:p>
    <w:p w:rsidR="009E0C89" w:rsidRPr="00294432" w:rsidRDefault="009E0C89" w:rsidP="00024054">
      <w:pPr>
        <w:pStyle w:val="Bullet"/>
      </w:pPr>
      <w:r w:rsidRPr="00294432">
        <w:t>Queenstown Lakes District Council – Blair Devlin</w:t>
      </w:r>
    </w:p>
    <w:p w:rsidR="009E0C89" w:rsidRPr="00294432" w:rsidRDefault="009E0C89" w:rsidP="00024054">
      <w:pPr>
        <w:pStyle w:val="Bullet"/>
      </w:pPr>
      <w:r w:rsidRPr="00294432">
        <w:t xml:space="preserve">Greater Christchurch – Keith </w:t>
      </w:r>
      <w:proofErr w:type="spellStart"/>
      <w:r w:rsidRPr="00294432">
        <w:t>Tallentire</w:t>
      </w:r>
      <w:proofErr w:type="spellEnd"/>
    </w:p>
    <w:p w:rsidR="009E0C89" w:rsidRPr="00294432" w:rsidRDefault="009E0C89" w:rsidP="00024054">
      <w:pPr>
        <w:pStyle w:val="Bullet"/>
      </w:pPr>
      <w:r w:rsidRPr="00294432">
        <w:t>Christchurch City Council – David Price</w:t>
      </w:r>
    </w:p>
    <w:p w:rsidR="009E0C89" w:rsidRPr="00294432" w:rsidRDefault="009E0C89" w:rsidP="00024054">
      <w:pPr>
        <w:pStyle w:val="Bullet"/>
      </w:pPr>
      <w:r w:rsidRPr="00294432">
        <w:t>Selwyn District Council – Cameron Wood</w:t>
      </w:r>
    </w:p>
    <w:p w:rsidR="009E0C89" w:rsidRPr="00294432" w:rsidRDefault="009E0C89" w:rsidP="00024054">
      <w:pPr>
        <w:pStyle w:val="Bullet"/>
      </w:pPr>
      <w:r w:rsidRPr="00294432">
        <w:t>Tauranga City Council – Andrew Mead</w:t>
      </w:r>
      <w:r>
        <w:t xml:space="preserve">, </w:t>
      </w:r>
      <w:proofErr w:type="spellStart"/>
      <w:r w:rsidRPr="00294432">
        <w:t>Ayv</w:t>
      </w:r>
      <w:proofErr w:type="spellEnd"/>
      <w:r w:rsidRPr="00294432">
        <w:t xml:space="preserve"> Greenway</w:t>
      </w:r>
    </w:p>
    <w:p w:rsidR="009E0C89" w:rsidRPr="00D42ECE" w:rsidRDefault="009E0C89" w:rsidP="00024054">
      <w:pPr>
        <w:pStyle w:val="Bullet"/>
      </w:pPr>
      <w:r w:rsidRPr="00D42ECE">
        <w:t>Wellington City Council – David Mitchell, Nathan Stocker</w:t>
      </w:r>
    </w:p>
    <w:p w:rsidR="009E0C89" w:rsidRPr="00D42ECE" w:rsidRDefault="009E0C89" w:rsidP="00024054">
      <w:pPr>
        <w:pStyle w:val="Bullet"/>
      </w:pPr>
      <w:r w:rsidRPr="00D42ECE">
        <w:t xml:space="preserve">Auckland Council – Regan Solomon, Kyle </w:t>
      </w:r>
      <w:proofErr w:type="spellStart"/>
      <w:r w:rsidRPr="00D42ECE">
        <w:t>Balderston</w:t>
      </w:r>
      <w:proofErr w:type="spellEnd"/>
    </w:p>
    <w:p w:rsidR="009E0C89" w:rsidRPr="00294432" w:rsidRDefault="009E0C89" w:rsidP="00024054">
      <w:pPr>
        <w:pStyle w:val="Bullet"/>
      </w:pPr>
      <w:r w:rsidRPr="00294432">
        <w:t xml:space="preserve">Hamilton City Council – Michael </w:t>
      </w:r>
      <w:proofErr w:type="spellStart"/>
      <w:r w:rsidRPr="00294432">
        <w:t>Spurr</w:t>
      </w:r>
      <w:proofErr w:type="spellEnd"/>
    </w:p>
    <w:p w:rsidR="009E0C89" w:rsidRPr="00294432" w:rsidRDefault="009E0C89" w:rsidP="00024054">
      <w:pPr>
        <w:pStyle w:val="Bullet"/>
      </w:pPr>
      <w:r w:rsidRPr="00294432">
        <w:t xml:space="preserve">Simpson Grierson – James Winchester </w:t>
      </w:r>
      <w:r w:rsidRPr="0027163C">
        <w:t xml:space="preserve">(Christchurch, Queenstown, Wellington, plus a number of other </w:t>
      </w:r>
      <w:r>
        <w:t>councils</w:t>
      </w:r>
      <w:r w:rsidRPr="0027163C">
        <w:t xml:space="preserve"> not </w:t>
      </w:r>
      <w:r>
        <w:t>covered by</w:t>
      </w:r>
      <w:r w:rsidRPr="0027163C">
        <w:t xml:space="preserve"> </w:t>
      </w:r>
      <w:r>
        <w:t>this study</w:t>
      </w:r>
      <w:r w:rsidRPr="0027163C">
        <w:t>)</w:t>
      </w:r>
    </w:p>
    <w:p w:rsidR="009E0C89" w:rsidRPr="00294432" w:rsidRDefault="009E0C89" w:rsidP="00024054">
      <w:pPr>
        <w:pStyle w:val="Bullet"/>
      </w:pPr>
      <w:r w:rsidRPr="00294432">
        <w:t>Property Group – Matthew Paetz (</w:t>
      </w:r>
      <w:r>
        <w:t xml:space="preserve">previously </w:t>
      </w:r>
      <w:r w:rsidRPr="00294432">
        <w:t>Queenstown</w:t>
      </w:r>
      <w:r>
        <w:t>-</w:t>
      </w:r>
      <w:r w:rsidRPr="00294432">
        <w:t>Lakes District Council)</w:t>
      </w:r>
    </w:p>
    <w:p w:rsidR="009E0C89" w:rsidRPr="00294432" w:rsidRDefault="009E0C89" w:rsidP="00024054">
      <w:pPr>
        <w:pStyle w:val="Bullet"/>
      </w:pPr>
      <w:r w:rsidRPr="00294432">
        <w:t xml:space="preserve">Market Economics – Doug </w:t>
      </w:r>
      <w:proofErr w:type="spellStart"/>
      <w:r w:rsidRPr="00294432">
        <w:t>Fairgray</w:t>
      </w:r>
      <w:proofErr w:type="spellEnd"/>
      <w:r w:rsidRPr="00294432">
        <w:t xml:space="preserve"> </w:t>
      </w:r>
      <w:r w:rsidRPr="0027163C">
        <w:t>(Auckland, Christchurch, Hamilton)</w:t>
      </w:r>
      <w:r>
        <w:t>,</w:t>
      </w:r>
      <w:r w:rsidRPr="00146B50">
        <w:t xml:space="preserve"> </w:t>
      </w:r>
      <w:r w:rsidRPr="00294432">
        <w:t xml:space="preserve">Greg </w:t>
      </w:r>
      <w:proofErr w:type="spellStart"/>
      <w:r w:rsidRPr="00294432">
        <w:t>Akehurst</w:t>
      </w:r>
      <w:proofErr w:type="spellEnd"/>
      <w:r w:rsidRPr="00294432">
        <w:t xml:space="preserve"> </w:t>
      </w:r>
      <w:r w:rsidRPr="0027163C">
        <w:t>(Auckland, Christchurch)</w:t>
      </w:r>
    </w:p>
    <w:p w:rsidR="009E0C89" w:rsidRPr="00476B33" w:rsidRDefault="009E0C89" w:rsidP="00024054">
      <w:pPr>
        <w:pStyle w:val="BodyText"/>
      </w:pPr>
    </w:p>
    <w:p w:rsidR="009E0C89" w:rsidRDefault="009E0C89" w:rsidP="009E0C89">
      <w:pPr>
        <w:rPr>
          <w:rFonts w:ascii="Arial" w:eastAsiaTheme="majorEastAsia" w:hAnsi="Arial" w:cs="Arial"/>
          <w:color w:val="17365D" w:themeColor="text2" w:themeShade="BF"/>
          <w:spacing w:val="5"/>
          <w:kern w:val="28"/>
          <w:sz w:val="24"/>
          <w:szCs w:val="24"/>
        </w:rPr>
      </w:pPr>
      <w:r>
        <w:rPr>
          <w:rFonts w:ascii="Arial" w:hAnsi="Arial" w:cs="Arial"/>
          <w:sz w:val="24"/>
          <w:szCs w:val="24"/>
        </w:rPr>
        <w:br w:type="page"/>
      </w:r>
    </w:p>
    <w:p w:rsidR="009E0C89" w:rsidRPr="002915C6" w:rsidRDefault="009E0C89" w:rsidP="002915C6">
      <w:pPr>
        <w:pStyle w:val="Heading1"/>
      </w:pPr>
      <w:bookmarkStart w:id="118" w:name="_Toc455072011"/>
      <w:bookmarkStart w:id="119" w:name="_Toc455410542"/>
      <w:r w:rsidRPr="002915C6">
        <w:t>References</w:t>
      </w:r>
      <w:bookmarkEnd w:id="118"/>
      <w:bookmarkEnd w:id="119"/>
      <w:r w:rsidRPr="002915C6">
        <w:t xml:space="preserve"> </w:t>
      </w:r>
    </w:p>
    <w:p w:rsidR="009E0C89" w:rsidRPr="002F6635" w:rsidRDefault="009E0C89" w:rsidP="002F6635">
      <w:pPr>
        <w:pStyle w:val="FootnoteText"/>
        <w:spacing w:before="120" w:after="120" w:line="280" w:lineRule="atLeast"/>
        <w:ind w:left="0" w:firstLine="0"/>
        <w:rPr>
          <w:rFonts w:asciiTheme="minorHAnsi" w:hAnsiTheme="minorHAnsi" w:cs="Arial"/>
          <w:sz w:val="22"/>
          <w:szCs w:val="22"/>
          <w:lang w:val="en-NZ"/>
        </w:rPr>
      </w:pPr>
      <w:r w:rsidRPr="00130DC1">
        <w:rPr>
          <w:rFonts w:asciiTheme="minorHAnsi" w:hAnsiTheme="minorHAnsi" w:cs="Arial"/>
          <w:sz w:val="22"/>
          <w:szCs w:val="22"/>
        </w:rPr>
        <w:t xml:space="preserve">013 Expert Group. 2015. </w:t>
      </w:r>
      <w:r w:rsidRPr="00130DC1">
        <w:rPr>
          <w:rFonts w:asciiTheme="minorHAnsi" w:hAnsiTheme="minorHAnsi" w:cs="Arial"/>
          <w:i/>
          <w:sz w:val="22"/>
          <w:szCs w:val="22"/>
        </w:rPr>
        <w:t>Residential Developable Capacity for Auckland: A Report on the 013 Topic Urban Growth for the AUP Independent Hearing Panel</w:t>
      </w:r>
      <w:r w:rsidRPr="00130DC1">
        <w:rPr>
          <w:rFonts w:asciiTheme="minorHAnsi" w:hAnsiTheme="minorHAnsi" w:cs="Arial"/>
          <w:sz w:val="22"/>
          <w:szCs w:val="22"/>
        </w:rPr>
        <w:t>. Auckland: AUP Independent Hearing Panel.</w:t>
      </w:r>
      <w:r w:rsidRPr="00130DC1">
        <w:rPr>
          <w:rFonts w:asciiTheme="minorHAnsi" w:hAnsiTheme="minorHAnsi" w:cs="Arial"/>
          <w:i/>
          <w:sz w:val="22"/>
          <w:szCs w:val="22"/>
        </w:rPr>
        <w:t xml:space="preserve"> </w:t>
      </w:r>
      <w:r w:rsidRPr="00130DC1">
        <w:rPr>
          <w:rFonts w:asciiTheme="minorHAnsi" w:hAnsiTheme="minorHAnsi" w:cs="Arial"/>
          <w:sz w:val="22"/>
          <w:szCs w:val="22"/>
        </w:rPr>
        <w:t xml:space="preserve">Retrieved from </w:t>
      </w:r>
      <w:hyperlink r:id="rId25" w:history="1">
        <w:r w:rsidRPr="00130DC1">
          <w:rPr>
            <w:rStyle w:val="Hyperlink"/>
            <w:rFonts w:asciiTheme="minorHAnsi" w:hAnsiTheme="minorHAnsi" w:cs="Arial"/>
            <w:sz w:val="22"/>
            <w:szCs w:val="22"/>
            <w:u w:val="none"/>
          </w:rPr>
          <w:t>https://hearings.aupihp.govt.nz/online-services/new/files/7d94SPVbOB64VQ0fbw0PvJ7eSaSwIFwonWLiqq1pMoM7</w:t>
        </w:r>
      </w:hyperlink>
      <w:r w:rsidR="002F6635" w:rsidRPr="002F6635">
        <w:rPr>
          <w:rStyle w:val="Hyperlink"/>
          <w:rFonts w:asciiTheme="minorHAnsi" w:hAnsiTheme="minorHAnsi" w:cs="Arial"/>
          <w:color w:val="auto"/>
          <w:sz w:val="22"/>
          <w:szCs w:val="22"/>
          <w:u w:val="none"/>
          <w:lang w:val="en-NZ"/>
        </w:rPr>
        <w:t>.</w:t>
      </w:r>
    </w:p>
    <w:p w:rsidR="009E0C89" w:rsidRPr="002F6635" w:rsidRDefault="009E0C89" w:rsidP="002F6635">
      <w:pPr>
        <w:pStyle w:val="FootnoteText"/>
        <w:spacing w:before="120" w:after="120" w:line="280" w:lineRule="atLeast"/>
        <w:ind w:left="0" w:firstLine="0"/>
        <w:rPr>
          <w:rFonts w:asciiTheme="minorHAnsi" w:hAnsiTheme="minorHAnsi" w:cs="Arial"/>
          <w:b/>
          <w:sz w:val="22"/>
          <w:szCs w:val="22"/>
          <w:lang w:val="en-NZ"/>
        </w:rPr>
      </w:pPr>
      <w:r w:rsidRPr="00130DC1">
        <w:rPr>
          <w:rFonts w:asciiTheme="minorHAnsi" w:hAnsiTheme="minorHAnsi" w:cs="Arial"/>
          <w:sz w:val="22"/>
          <w:szCs w:val="22"/>
        </w:rPr>
        <w:t xml:space="preserve">Auckland Council. 2013. </w:t>
      </w:r>
      <w:r w:rsidRPr="00130DC1">
        <w:rPr>
          <w:rFonts w:asciiTheme="minorHAnsi" w:hAnsiTheme="minorHAnsi" w:cs="Arial"/>
          <w:i/>
          <w:sz w:val="22"/>
          <w:szCs w:val="22"/>
        </w:rPr>
        <w:t>Capacity for Growth Study</w:t>
      </w:r>
      <w:r w:rsidRPr="00130DC1">
        <w:rPr>
          <w:rFonts w:asciiTheme="minorHAnsi" w:hAnsiTheme="minorHAnsi" w:cs="Arial"/>
          <w:sz w:val="22"/>
          <w:szCs w:val="22"/>
        </w:rPr>
        <w:t>. Auckland: Auckland Council. Retrie</w:t>
      </w:r>
      <w:r w:rsidR="002F6635">
        <w:rPr>
          <w:rFonts w:asciiTheme="minorHAnsi" w:hAnsiTheme="minorHAnsi" w:cs="Arial"/>
          <w:sz w:val="22"/>
          <w:szCs w:val="22"/>
        </w:rPr>
        <w:t xml:space="preserve">ved from </w:t>
      </w:r>
      <w:hyperlink r:id="rId26" w:history="1">
        <w:r w:rsidR="002F6635" w:rsidRPr="002F6635">
          <w:rPr>
            <w:rStyle w:val="Hyperlink"/>
            <w:rFonts w:asciiTheme="minorHAnsi" w:hAnsiTheme="minorHAnsi" w:cs="Arial"/>
            <w:sz w:val="22"/>
            <w:szCs w:val="22"/>
            <w:u w:val="none"/>
          </w:rPr>
          <w:t>www.aucklandcouncil.govt.nz/EN/planspoliciesprojects/reports/technicalpublications/</w:t>
        </w:r>
        <w:r w:rsidR="002F6635" w:rsidRPr="002F6635">
          <w:rPr>
            <w:rStyle w:val="Hyperlink"/>
            <w:rFonts w:asciiTheme="minorHAnsi" w:hAnsiTheme="minorHAnsi" w:cs="Arial"/>
            <w:sz w:val="22"/>
            <w:szCs w:val="22"/>
            <w:u w:val="none"/>
            <w:lang w:val="en-NZ"/>
          </w:rPr>
          <w:br/>
        </w:r>
        <w:r w:rsidR="002F6635" w:rsidRPr="002F6635">
          <w:rPr>
            <w:rStyle w:val="Hyperlink"/>
            <w:rFonts w:asciiTheme="minorHAnsi" w:hAnsiTheme="minorHAnsi" w:cs="Arial"/>
            <w:sz w:val="22"/>
            <w:szCs w:val="22"/>
            <w:u w:val="none"/>
          </w:rPr>
          <w:t>Pages/capacityforgrowthstudy.aspx</w:t>
        </w:r>
      </w:hyperlink>
      <w:r w:rsidR="002F6635" w:rsidRPr="002F6635">
        <w:rPr>
          <w:rStyle w:val="Hyperlink"/>
          <w:rFonts w:asciiTheme="minorHAnsi" w:hAnsiTheme="minorHAnsi" w:cs="Arial"/>
          <w:color w:val="auto"/>
          <w:sz w:val="22"/>
          <w:szCs w:val="22"/>
          <w:u w:val="none"/>
          <w:lang w:val="en-NZ"/>
        </w:rPr>
        <w:t>.</w:t>
      </w:r>
    </w:p>
    <w:p w:rsidR="009E0C89" w:rsidRPr="002F6635" w:rsidRDefault="009E0C89" w:rsidP="002F6635">
      <w:pPr>
        <w:pStyle w:val="FootnoteText"/>
        <w:spacing w:before="120" w:after="120" w:line="280" w:lineRule="atLeast"/>
        <w:ind w:left="0" w:firstLine="0"/>
        <w:rPr>
          <w:rFonts w:asciiTheme="minorHAnsi" w:hAnsiTheme="minorHAnsi" w:cs="Arial"/>
          <w:sz w:val="22"/>
          <w:szCs w:val="22"/>
          <w:lang w:val="en-NZ"/>
        </w:rPr>
      </w:pPr>
      <w:r w:rsidRPr="00130DC1">
        <w:rPr>
          <w:rFonts w:asciiTheme="minorHAnsi" w:hAnsiTheme="minorHAnsi" w:cs="Arial"/>
          <w:sz w:val="22"/>
          <w:szCs w:val="22"/>
        </w:rPr>
        <w:t>Auckland Unitary Plan Independent Hearings Panel. 2014.</w:t>
      </w:r>
      <w:r w:rsidRPr="00130DC1">
        <w:rPr>
          <w:rFonts w:asciiTheme="minorHAnsi" w:hAnsiTheme="minorHAnsi" w:cs="Arial"/>
          <w:i/>
          <w:sz w:val="22"/>
          <w:szCs w:val="22"/>
        </w:rPr>
        <w:t xml:space="preserve"> Statement of modelling evidence of Kyle Oliver </w:t>
      </w:r>
      <w:proofErr w:type="spellStart"/>
      <w:r w:rsidRPr="00130DC1">
        <w:rPr>
          <w:rFonts w:asciiTheme="minorHAnsi" w:hAnsiTheme="minorHAnsi" w:cs="Arial"/>
          <w:i/>
          <w:sz w:val="22"/>
          <w:szCs w:val="22"/>
        </w:rPr>
        <w:t>Balderston</w:t>
      </w:r>
      <w:proofErr w:type="spellEnd"/>
      <w:r w:rsidRPr="00130DC1">
        <w:rPr>
          <w:rFonts w:asciiTheme="minorHAnsi" w:hAnsiTheme="minorHAnsi" w:cs="Arial"/>
          <w:i/>
          <w:sz w:val="22"/>
          <w:szCs w:val="22"/>
        </w:rPr>
        <w:t xml:space="preserve"> on behalf of Auckland Council</w:t>
      </w:r>
      <w:r w:rsidRPr="00130DC1">
        <w:rPr>
          <w:rFonts w:asciiTheme="minorHAnsi" w:hAnsiTheme="minorHAnsi" w:cs="Arial"/>
          <w:sz w:val="22"/>
          <w:szCs w:val="22"/>
        </w:rPr>
        <w:t xml:space="preserve">. Auckland: AUP Independent Hearing Panel. Retrieved from </w:t>
      </w:r>
      <w:hyperlink r:id="rId27" w:history="1">
        <w:r w:rsidRPr="00130DC1">
          <w:rPr>
            <w:rStyle w:val="Hyperlink"/>
            <w:rFonts w:asciiTheme="minorHAnsi" w:hAnsiTheme="minorHAnsi" w:cs="Arial"/>
            <w:sz w:val="22"/>
            <w:szCs w:val="22"/>
            <w:u w:val="none"/>
          </w:rPr>
          <w:t>https://hearings.aupihp.govt.nz/online-services/new/files/g2H1lRvgbyWp7WcZjYUMUqF31JpkbXfKxfvKcB7MXg2H</w:t>
        </w:r>
      </w:hyperlink>
      <w:r w:rsidR="002F6635" w:rsidRPr="002F6635">
        <w:rPr>
          <w:rStyle w:val="Hyperlink"/>
          <w:rFonts w:asciiTheme="minorHAnsi" w:hAnsiTheme="minorHAnsi" w:cs="Arial"/>
          <w:color w:val="auto"/>
          <w:sz w:val="22"/>
          <w:szCs w:val="22"/>
          <w:u w:val="none"/>
          <w:lang w:val="en-NZ"/>
        </w:rPr>
        <w:t>.</w:t>
      </w:r>
    </w:p>
    <w:p w:rsidR="009E0C89" w:rsidRPr="00130DC1" w:rsidRDefault="009E0C89" w:rsidP="002F6635">
      <w:pPr>
        <w:pStyle w:val="FootnoteText"/>
        <w:spacing w:before="120" w:after="120" w:line="280" w:lineRule="atLeast"/>
        <w:ind w:left="0" w:firstLine="0"/>
        <w:rPr>
          <w:rFonts w:asciiTheme="minorHAnsi" w:hAnsiTheme="minorHAnsi" w:cs="Arial"/>
          <w:sz w:val="22"/>
          <w:szCs w:val="22"/>
          <w:highlight w:val="yellow"/>
        </w:rPr>
      </w:pPr>
      <w:r w:rsidRPr="00130DC1">
        <w:rPr>
          <w:rFonts w:asciiTheme="minorHAnsi" w:hAnsiTheme="minorHAnsi" w:cs="Arial"/>
          <w:sz w:val="22"/>
          <w:szCs w:val="22"/>
        </w:rPr>
        <w:t xml:space="preserve">Auckland Unitary Plan Independent Hearings Panel. 2014. </w:t>
      </w:r>
      <w:r w:rsidRPr="00130DC1">
        <w:rPr>
          <w:rFonts w:asciiTheme="minorHAnsi" w:hAnsiTheme="minorHAnsi" w:cs="Arial"/>
          <w:i/>
          <w:sz w:val="22"/>
          <w:szCs w:val="22"/>
        </w:rPr>
        <w:t>Hearing Schedule Documents.</w:t>
      </w:r>
      <w:r w:rsidRPr="00130DC1">
        <w:rPr>
          <w:rFonts w:asciiTheme="minorHAnsi" w:hAnsiTheme="minorHAnsi" w:cs="Arial"/>
          <w:sz w:val="22"/>
          <w:szCs w:val="22"/>
        </w:rPr>
        <w:t xml:space="preserve"> Retrieved from </w:t>
      </w:r>
      <w:hyperlink r:id="rId28" w:history="1">
        <w:r w:rsidRPr="00130DC1">
          <w:rPr>
            <w:rStyle w:val="Hyperlink"/>
            <w:rFonts w:asciiTheme="minorHAnsi" w:hAnsiTheme="minorHAnsi" w:cs="Arial"/>
            <w:sz w:val="22"/>
            <w:szCs w:val="22"/>
            <w:u w:val="none"/>
          </w:rPr>
          <w:t>https://hearings.aupihp.govt.nz/hearings</w:t>
        </w:r>
      </w:hyperlink>
      <w:r w:rsidRPr="00130DC1">
        <w:rPr>
          <w:rFonts w:asciiTheme="minorHAnsi" w:hAnsiTheme="minorHAnsi" w:cs="Arial"/>
          <w:sz w:val="22"/>
          <w:szCs w:val="22"/>
        </w:rPr>
        <w:t xml:space="preserve"> (22 J</w:t>
      </w:r>
      <w:r w:rsidRPr="00130DC1">
        <w:rPr>
          <w:rFonts w:asciiTheme="minorHAnsi" w:hAnsiTheme="minorHAnsi"/>
          <w:sz w:val="22"/>
          <w:szCs w:val="22"/>
        </w:rPr>
        <w:t>une 2016)</w:t>
      </w:r>
      <w:r w:rsidRPr="00130DC1">
        <w:rPr>
          <w:rFonts w:asciiTheme="minorHAnsi" w:hAnsiTheme="minorHAnsi" w:cs="Arial"/>
          <w:sz w:val="22"/>
          <w:szCs w:val="22"/>
        </w:rPr>
        <w:t>.</w:t>
      </w:r>
    </w:p>
    <w:p w:rsidR="009E0C89" w:rsidRPr="002F6635" w:rsidRDefault="009E0C89" w:rsidP="002F6635">
      <w:pPr>
        <w:pStyle w:val="FootnoteText"/>
        <w:spacing w:before="120" w:after="120" w:line="280" w:lineRule="atLeast"/>
        <w:ind w:left="0" w:firstLine="0"/>
        <w:rPr>
          <w:rFonts w:asciiTheme="minorHAnsi" w:hAnsiTheme="minorHAnsi" w:cs="Arial"/>
          <w:sz w:val="22"/>
          <w:szCs w:val="22"/>
          <w:lang w:val="en-NZ"/>
        </w:rPr>
      </w:pPr>
      <w:r w:rsidRPr="00130DC1">
        <w:rPr>
          <w:rFonts w:asciiTheme="minorHAnsi" w:hAnsiTheme="minorHAnsi" w:cs="Arial"/>
          <w:sz w:val="22"/>
          <w:szCs w:val="22"/>
        </w:rPr>
        <w:t xml:space="preserve">Christchurch City Council, Overview of household demand, targets and capacity, Proposed Christchurch Replacement District Plan, Residential chapter, Section 32 Report, Appendix 3, Retrieved from </w:t>
      </w:r>
      <w:hyperlink r:id="rId29" w:history="1">
        <w:r w:rsidRPr="00130DC1">
          <w:rPr>
            <w:rStyle w:val="Hyperlink"/>
            <w:rFonts w:asciiTheme="minorHAnsi" w:hAnsiTheme="minorHAnsi" w:cs="Arial"/>
            <w:sz w:val="22"/>
            <w:szCs w:val="22"/>
            <w:u w:val="none"/>
          </w:rPr>
          <w:t>http://resources.ccc.govt.nz/files/TheCouncil/policiesreportsstrategies/districtplanning/districtplanreview/Appendix3-OverviewhouseholddemandtargetscapacityDOC.pdf</w:t>
        </w:r>
      </w:hyperlink>
      <w:r w:rsidR="002F6635" w:rsidRPr="002F6635">
        <w:rPr>
          <w:rStyle w:val="Hyperlink"/>
          <w:rFonts w:asciiTheme="minorHAnsi" w:hAnsiTheme="minorHAnsi" w:cs="Arial"/>
          <w:color w:val="auto"/>
          <w:sz w:val="22"/>
          <w:szCs w:val="22"/>
          <w:u w:val="none"/>
          <w:lang w:val="en-NZ"/>
        </w:rPr>
        <w:t>.</w:t>
      </w:r>
    </w:p>
    <w:p w:rsidR="009E0C89" w:rsidRPr="00130DC1" w:rsidRDefault="009E0C89" w:rsidP="002F6635">
      <w:pPr>
        <w:pStyle w:val="FootnoteText"/>
        <w:spacing w:before="120" w:after="120" w:line="280" w:lineRule="atLeast"/>
        <w:ind w:left="0" w:firstLine="0"/>
        <w:rPr>
          <w:rFonts w:asciiTheme="minorHAnsi" w:hAnsiTheme="minorHAnsi" w:cs="Arial"/>
          <w:sz w:val="22"/>
          <w:szCs w:val="22"/>
        </w:rPr>
      </w:pPr>
      <w:r w:rsidRPr="00130DC1">
        <w:rPr>
          <w:rFonts w:asciiTheme="minorHAnsi" w:hAnsiTheme="minorHAnsi" w:cs="Arial"/>
          <w:sz w:val="22"/>
          <w:szCs w:val="22"/>
        </w:rPr>
        <w:t>Christchurch City Council. 2013.</w:t>
      </w:r>
      <w:r w:rsidRPr="00130DC1">
        <w:rPr>
          <w:rFonts w:asciiTheme="minorHAnsi" w:hAnsiTheme="minorHAnsi" w:cs="Arial"/>
          <w:i/>
          <w:sz w:val="22"/>
          <w:szCs w:val="22"/>
        </w:rPr>
        <w:t xml:space="preserve"> Proposed Christchurch City District Plan: Commercial and Industrial Chapters: Economic Analysis</w:t>
      </w:r>
      <w:r w:rsidRPr="00130DC1">
        <w:rPr>
          <w:rFonts w:asciiTheme="minorHAnsi" w:hAnsiTheme="minorHAnsi" w:cs="Arial"/>
          <w:sz w:val="22"/>
          <w:szCs w:val="22"/>
        </w:rPr>
        <w:t xml:space="preserve">. Report for the Christchurch City Council by Property Economics. Christchurch: Christchurch City Council. Retrieved from </w:t>
      </w:r>
      <w:hyperlink r:id="rId30" w:history="1">
        <w:r w:rsidRPr="00130DC1">
          <w:rPr>
            <w:rStyle w:val="Hyperlink"/>
            <w:rFonts w:asciiTheme="minorHAnsi" w:hAnsiTheme="minorHAnsi" w:cs="Arial"/>
            <w:sz w:val="22"/>
            <w:szCs w:val="22"/>
            <w:u w:val="none"/>
          </w:rPr>
          <w:t>http://resources.ccc.govt.nz/files/TheCouncil/policiesreportsstrategies/districtplanning/districtplanreview/Appendix8.3-PropertyEconomicsReport.pdf</w:t>
        </w:r>
      </w:hyperlink>
      <w:r w:rsidR="002F6635" w:rsidRPr="002F6635">
        <w:rPr>
          <w:rStyle w:val="Hyperlink"/>
          <w:rFonts w:asciiTheme="minorHAnsi" w:hAnsiTheme="minorHAnsi" w:cs="Arial"/>
          <w:color w:val="auto"/>
          <w:sz w:val="22"/>
          <w:szCs w:val="22"/>
          <w:u w:val="none"/>
          <w:lang w:val="en-NZ"/>
        </w:rPr>
        <w:t>.</w:t>
      </w:r>
      <w:r w:rsidR="006376AD">
        <w:fldChar w:fldCharType="begin"/>
      </w:r>
      <w:r w:rsidR="006376AD">
        <w:instrText xml:space="preserve"> HYPERLINK "http://www.developingchoices.org.nz/docs/corp-lurp-contextdoc-032013.pdf" </w:instrText>
      </w:r>
      <w:r w:rsidR="006376AD">
        <w:fldChar w:fldCharType="separate"/>
      </w:r>
      <w:r w:rsidR="006376AD">
        <w:fldChar w:fldCharType="end"/>
      </w:r>
    </w:p>
    <w:p w:rsidR="009E0C89" w:rsidRPr="00130DC1" w:rsidRDefault="009E0C89" w:rsidP="002F6635">
      <w:pPr>
        <w:pStyle w:val="FootnoteText"/>
        <w:spacing w:before="120" w:after="120" w:line="280" w:lineRule="atLeast"/>
        <w:ind w:left="0" w:firstLine="0"/>
        <w:rPr>
          <w:rFonts w:asciiTheme="minorHAnsi" w:hAnsiTheme="minorHAnsi" w:cs="Arial"/>
          <w:sz w:val="22"/>
          <w:szCs w:val="22"/>
          <w:u w:val="single"/>
        </w:rPr>
      </w:pPr>
      <w:r w:rsidRPr="00130DC1">
        <w:rPr>
          <w:rFonts w:asciiTheme="minorHAnsi" w:hAnsiTheme="minorHAnsi" w:cs="Arial"/>
          <w:sz w:val="22"/>
          <w:szCs w:val="22"/>
        </w:rPr>
        <w:t xml:space="preserve">Christchurch City Council. 2014. </w:t>
      </w:r>
      <w:r w:rsidRPr="00130DC1">
        <w:rPr>
          <w:rFonts w:asciiTheme="minorHAnsi" w:hAnsiTheme="minorHAnsi" w:cs="Arial"/>
          <w:i/>
          <w:sz w:val="22"/>
          <w:szCs w:val="22"/>
        </w:rPr>
        <w:t xml:space="preserve">Review of medium density residential zones around key activity centres and larger neighbourhood centre, </w:t>
      </w:r>
      <w:r w:rsidRPr="00130DC1">
        <w:rPr>
          <w:rFonts w:asciiTheme="minorHAnsi" w:hAnsiTheme="minorHAnsi" w:cs="Arial"/>
          <w:sz w:val="22"/>
          <w:szCs w:val="22"/>
        </w:rPr>
        <w:t>Proposed Christchurch Replacement District Plan,</w:t>
      </w:r>
      <w:r w:rsidRPr="00130DC1">
        <w:rPr>
          <w:rFonts w:asciiTheme="minorHAnsi" w:hAnsiTheme="minorHAnsi" w:cs="Arial"/>
          <w:i/>
          <w:sz w:val="22"/>
          <w:szCs w:val="22"/>
        </w:rPr>
        <w:t xml:space="preserve"> </w:t>
      </w:r>
      <w:r w:rsidRPr="00130DC1">
        <w:rPr>
          <w:rFonts w:asciiTheme="minorHAnsi" w:hAnsiTheme="minorHAnsi" w:cs="Arial"/>
          <w:sz w:val="22"/>
          <w:szCs w:val="22"/>
        </w:rPr>
        <w:t xml:space="preserve">Residential Chapter 14, Section 32 Report, Appendix 4, retrieved from </w:t>
      </w:r>
      <w:hyperlink r:id="rId31" w:history="1">
        <w:r w:rsidRPr="00130DC1">
          <w:rPr>
            <w:rStyle w:val="Hyperlink"/>
            <w:rFonts w:asciiTheme="minorHAnsi" w:hAnsiTheme="minorHAnsi" w:cs="Arial"/>
            <w:sz w:val="22"/>
            <w:szCs w:val="22"/>
            <w:u w:val="none"/>
          </w:rPr>
          <w:t>http://resources.ccc.govt.nz/files/TheCouncil/policiesreportsstrategies/districtplanning/districtplanreview/Appendix4-MediumDensityAnalysisDOC.pdf</w:t>
        </w:r>
      </w:hyperlink>
      <w:r w:rsidR="002F6635" w:rsidRPr="002F6635">
        <w:rPr>
          <w:rStyle w:val="Hyperlink"/>
          <w:rFonts w:asciiTheme="minorHAnsi" w:hAnsiTheme="minorHAnsi" w:cs="Arial"/>
          <w:color w:val="auto"/>
          <w:sz w:val="22"/>
          <w:szCs w:val="22"/>
          <w:u w:val="none"/>
          <w:lang w:val="en-NZ"/>
        </w:rPr>
        <w:t>.</w:t>
      </w:r>
      <w:r w:rsidRPr="00130DC1">
        <w:rPr>
          <w:rFonts w:asciiTheme="minorHAnsi" w:hAnsiTheme="minorHAnsi" w:cs="Arial"/>
          <w:sz w:val="22"/>
          <w:szCs w:val="22"/>
        </w:rPr>
        <w:t xml:space="preserve"> </w:t>
      </w:r>
    </w:p>
    <w:p w:rsidR="009E0C89" w:rsidRPr="002F6635" w:rsidRDefault="009E0C89" w:rsidP="002F6635">
      <w:pPr>
        <w:pStyle w:val="FootnoteText"/>
        <w:spacing w:before="120" w:after="120" w:line="280" w:lineRule="atLeast"/>
        <w:ind w:left="0" w:firstLine="0"/>
        <w:rPr>
          <w:rStyle w:val="Hyperlink"/>
          <w:rFonts w:asciiTheme="minorHAnsi" w:hAnsiTheme="minorHAnsi" w:cs="Arial"/>
          <w:bCs/>
          <w:sz w:val="22"/>
          <w:szCs w:val="22"/>
          <w:lang w:val="en-NZ"/>
        </w:rPr>
      </w:pPr>
      <w:r w:rsidRPr="00130DC1">
        <w:rPr>
          <w:rFonts w:asciiTheme="minorHAnsi" w:hAnsiTheme="minorHAnsi" w:cs="Arial"/>
          <w:sz w:val="22"/>
          <w:szCs w:val="22"/>
        </w:rPr>
        <w:t>Environment Canterbury.2013.</w:t>
      </w:r>
      <w:r w:rsidRPr="00130DC1">
        <w:rPr>
          <w:rFonts w:asciiTheme="minorHAnsi" w:hAnsiTheme="minorHAnsi" w:cs="Arial"/>
          <w:i/>
          <w:sz w:val="22"/>
          <w:szCs w:val="22"/>
        </w:rPr>
        <w:t xml:space="preserve"> Land Use Recovery Plan: Context paper</w:t>
      </w:r>
      <w:r w:rsidRPr="00130DC1">
        <w:rPr>
          <w:rFonts w:asciiTheme="minorHAnsi" w:hAnsiTheme="minorHAnsi" w:cs="Arial"/>
          <w:sz w:val="22"/>
          <w:szCs w:val="22"/>
        </w:rPr>
        <w:t xml:space="preserve">. Christchurch: Environment Canterbury. Retrieved from </w:t>
      </w:r>
      <w:hyperlink r:id="rId32" w:history="1">
        <w:r w:rsidRPr="00130DC1">
          <w:rPr>
            <w:rStyle w:val="Hyperlink"/>
            <w:rFonts w:asciiTheme="minorHAnsi" w:hAnsiTheme="minorHAnsi" w:cs="Arial"/>
            <w:bCs/>
            <w:sz w:val="22"/>
            <w:szCs w:val="22"/>
            <w:u w:val="none"/>
          </w:rPr>
          <w:t>www.developingchoices.org.nz/docs/corp-lurp-contextdoc-032013.pdf</w:t>
        </w:r>
      </w:hyperlink>
      <w:r w:rsidR="002F6635" w:rsidRPr="002F6635">
        <w:rPr>
          <w:rStyle w:val="Hyperlink"/>
          <w:rFonts w:asciiTheme="minorHAnsi" w:hAnsiTheme="minorHAnsi" w:cs="Arial"/>
          <w:bCs/>
          <w:color w:val="auto"/>
          <w:sz w:val="22"/>
          <w:szCs w:val="22"/>
          <w:u w:val="none"/>
          <w:lang w:val="en-NZ"/>
        </w:rPr>
        <w:t>.</w:t>
      </w:r>
    </w:p>
    <w:p w:rsidR="009E0C89" w:rsidRPr="002F6635" w:rsidRDefault="009E0C89" w:rsidP="002F6635">
      <w:pPr>
        <w:pStyle w:val="FootnoteText"/>
        <w:spacing w:before="120" w:after="120" w:line="280" w:lineRule="atLeast"/>
        <w:ind w:left="0" w:firstLine="0"/>
        <w:rPr>
          <w:rFonts w:asciiTheme="minorHAnsi" w:hAnsiTheme="minorHAnsi" w:cs="Arial"/>
          <w:sz w:val="22"/>
          <w:szCs w:val="22"/>
          <w:lang w:val="en-NZ"/>
        </w:rPr>
      </w:pPr>
      <w:proofErr w:type="spellStart"/>
      <w:r w:rsidRPr="00130DC1">
        <w:rPr>
          <w:rFonts w:asciiTheme="minorHAnsi" w:hAnsiTheme="minorHAnsi" w:cs="Arial"/>
          <w:sz w:val="22"/>
          <w:szCs w:val="22"/>
        </w:rPr>
        <w:t>Fontein</w:t>
      </w:r>
      <w:proofErr w:type="spellEnd"/>
      <w:r w:rsidRPr="00130DC1">
        <w:rPr>
          <w:rFonts w:asciiTheme="minorHAnsi" w:hAnsiTheme="minorHAnsi" w:cs="Arial"/>
          <w:sz w:val="22"/>
          <w:szCs w:val="22"/>
        </w:rPr>
        <w:t xml:space="preserve"> P. 2014. </w:t>
      </w:r>
      <w:r w:rsidRPr="00130DC1">
        <w:rPr>
          <w:rFonts w:asciiTheme="minorHAnsi" w:hAnsiTheme="minorHAnsi" w:cs="Arial"/>
          <w:i/>
          <w:sz w:val="22"/>
          <w:szCs w:val="22"/>
        </w:rPr>
        <w:t>Auckland Industrial Land Fine Grained Analysis.</w:t>
      </w:r>
      <w:r w:rsidRPr="00130DC1">
        <w:rPr>
          <w:rFonts w:asciiTheme="minorHAnsi" w:hAnsiTheme="minorHAnsi" w:cs="Arial"/>
          <w:sz w:val="22"/>
          <w:szCs w:val="22"/>
        </w:rPr>
        <w:t xml:space="preserve"> Auckland: Studio D4. Retrieved </w:t>
      </w:r>
      <w:r w:rsidRPr="002F6635">
        <w:rPr>
          <w:rFonts w:asciiTheme="minorHAnsi" w:hAnsiTheme="minorHAnsi" w:cs="Arial"/>
          <w:sz w:val="22"/>
          <w:szCs w:val="22"/>
        </w:rPr>
        <w:t xml:space="preserve">from </w:t>
      </w:r>
      <w:hyperlink r:id="rId33" w:history="1">
        <w:r w:rsidR="002F6635" w:rsidRPr="002F6635">
          <w:rPr>
            <w:rStyle w:val="Hyperlink"/>
            <w:rFonts w:asciiTheme="minorHAnsi" w:hAnsiTheme="minorHAnsi" w:cs="Arial"/>
            <w:sz w:val="22"/>
            <w:szCs w:val="22"/>
            <w:u w:val="none"/>
          </w:rPr>
          <w:t>http://static1.squarespace.com/static/546d47b8e4b07b4ef0db4b25/t/</w:t>
        </w:r>
        <w:r w:rsidR="002F6635" w:rsidRPr="002F6635">
          <w:rPr>
            <w:rStyle w:val="Hyperlink"/>
            <w:rFonts w:asciiTheme="minorHAnsi" w:hAnsiTheme="minorHAnsi" w:cs="Arial"/>
            <w:sz w:val="22"/>
            <w:szCs w:val="22"/>
            <w:u w:val="none"/>
            <w:lang w:val="en-NZ"/>
          </w:rPr>
          <w:br/>
        </w:r>
        <w:r w:rsidR="002F6635" w:rsidRPr="002F6635">
          <w:rPr>
            <w:rStyle w:val="Hyperlink"/>
            <w:rFonts w:asciiTheme="minorHAnsi" w:hAnsiTheme="minorHAnsi" w:cs="Arial"/>
            <w:sz w:val="22"/>
            <w:szCs w:val="22"/>
            <w:u w:val="none"/>
          </w:rPr>
          <w:t>547ae229e4b0d6f577779f86/1417339445092/SD4+Industrial+FGA+2014+11+20+Final+Report.pdf</w:t>
        </w:r>
      </w:hyperlink>
      <w:r w:rsidR="002F6635" w:rsidRPr="002F6635">
        <w:rPr>
          <w:rStyle w:val="Hyperlink"/>
          <w:rFonts w:asciiTheme="minorHAnsi" w:hAnsiTheme="minorHAnsi" w:cs="Arial"/>
          <w:color w:val="auto"/>
          <w:sz w:val="22"/>
          <w:szCs w:val="22"/>
          <w:u w:val="none"/>
          <w:lang w:val="en-NZ"/>
        </w:rPr>
        <w:t>.</w:t>
      </w:r>
    </w:p>
    <w:p w:rsidR="009E0C89" w:rsidRPr="00130DC1" w:rsidRDefault="009E0C89" w:rsidP="008835B1">
      <w:pPr>
        <w:jc w:val="left"/>
        <w:rPr>
          <w:rFonts w:asciiTheme="minorHAnsi" w:hAnsiTheme="minorHAnsi" w:cs="Arial"/>
        </w:rPr>
      </w:pPr>
      <w:proofErr w:type="gramStart"/>
      <w:r w:rsidRPr="00130DC1">
        <w:rPr>
          <w:rFonts w:asciiTheme="minorHAnsi" w:hAnsiTheme="minorHAnsi" w:cs="Arial"/>
        </w:rPr>
        <w:t>Greater Christchurch.</w:t>
      </w:r>
      <w:proofErr w:type="gramEnd"/>
      <w:r w:rsidRPr="00130DC1">
        <w:rPr>
          <w:rFonts w:asciiTheme="minorHAnsi" w:hAnsiTheme="minorHAnsi" w:cs="Arial"/>
        </w:rPr>
        <w:t xml:space="preserve"> 2007.</w:t>
      </w:r>
      <w:r w:rsidRPr="00130DC1">
        <w:rPr>
          <w:rFonts w:asciiTheme="minorHAnsi" w:hAnsiTheme="minorHAnsi" w:cs="Arial"/>
          <w:i/>
        </w:rPr>
        <w:t xml:space="preserve"> Greater Christchurch Urban Development Strategy and Action Plan 2007.</w:t>
      </w:r>
      <w:r w:rsidRPr="00130DC1">
        <w:rPr>
          <w:rFonts w:asciiTheme="minorHAnsi" w:hAnsiTheme="minorHAnsi" w:cs="Arial"/>
        </w:rPr>
        <w:t xml:space="preserve"> Christchurch: Greater Christchurch. </w:t>
      </w:r>
      <w:proofErr w:type="gramStart"/>
      <w:r w:rsidRPr="00130DC1">
        <w:rPr>
          <w:rFonts w:asciiTheme="minorHAnsi" w:hAnsiTheme="minorHAnsi" w:cs="Arial"/>
        </w:rPr>
        <w:t xml:space="preserve">Retrieved from </w:t>
      </w:r>
      <w:hyperlink r:id="rId34" w:history="1">
        <w:r w:rsidRPr="00130DC1">
          <w:rPr>
            <w:rStyle w:val="Hyperlink"/>
            <w:rFonts w:asciiTheme="minorHAnsi" w:hAnsiTheme="minorHAnsi" w:cs="Arial"/>
            <w:u w:val="none"/>
          </w:rPr>
          <w:t>www.greaterchristchurch.org.nz/Strategy/index.aspx</w:t>
        </w:r>
      </w:hyperlink>
      <w:r w:rsidR="002F6635" w:rsidRPr="002F6635">
        <w:rPr>
          <w:rStyle w:val="Hyperlink"/>
          <w:rFonts w:asciiTheme="minorHAnsi" w:hAnsiTheme="minorHAnsi" w:cs="Arial"/>
          <w:color w:val="auto"/>
          <w:u w:val="none"/>
        </w:rPr>
        <w:t>.</w:t>
      </w:r>
      <w:proofErr w:type="gramEnd"/>
      <w:r w:rsidRPr="002F6635">
        <w:rPr>
          <w:rStyle w:val="Hyperlink"/>
          <w:rFonts w:asciiTheme="minorHAnsi" w:hAnsiTheme="minorHAnsi" w:cs="Arial"/>
          <w:color w:val="auto"/>
        </w:rPr>
        <w:t xml:space="preserve"> </w:t>
      </w:r>
    </w:p>
    <w:p w:rsidR="009E0C89" w:rsidRPr="00130DC1" w:rsidRDefault="009E0C89" w:rsidP="008835B1">
      <w:pPr>
        <w:jc w:val="left"/>
        <w:rPr>
          <w:rFonts w:asciiTheme="minorHAnsi" w:hAnsiTheme="minorHAnsi" w:cs="Arial"/>
        </w:rPr>
      </w:pPr>
      <w:proofErr w:type="gramStart"/>
      <w:r w:rsidRPr="00130DC1">
        <w:rPr>
          <w:rFonts w:asciiTheme="minorHAnsi" w:hAnsiTheme="minorHAnsi" w:cs="Arial"/>
        </w:rPr>
        <w:t>Greater Christchurch.</w:t>
      </w:r>
      <w:proofErr w:type="gramEnd"/>
      <w:r w:rsidRPr="00130DC1">
        <w:rPr>
          <w:rFonts w:asciiTheme="minorHAnsi" w:hAnsiTheme="minorHAnsi" w:cs="Arial"/>
        </w:rPr>
        <w:t xml:space="preserve"> 2013. </w:t>
      </w:r>
      <w:r w:rsidRPr="00130DC1">
        <w:rPr>
          <w:rFonts w:asciiTheme="minorHAnsi" w:hAnsiTheme="minorHAnsi" w:cs="Arial"/>
          <w:i/>
        </w:rPr>
        <w:t>Greater Christchurch Housing Market Assessment</w:t>
      </w:r>
      <w:r w:rsidRPr="00130DC1">
        <w:rPr>
          <w:rFonts w:asciiTheme="minorHAnsi" w:hAnsiTheme="minorHAnsi" w:cs="Arial"/>
        </w:rPr>
        <w:t xml:space="preserve">. </w:t>
      </w:r>
      <w:proofErr w:type="gramStart"/>
      <w:r w:rsidRPr="00130DC1">
        <w:rPr>
          <w:rFonts w:asciiTheme="minorHAnsi" w:hAnsiTheme="minorHAnsi" w:cs="Arial"/>
        </w:rPr>
        <w:t>Prepared for Greater Christchurch by Livingston and Associates Ltd. Christchurch: Greater Christchurch.</w:t>
      </w:r>
      <w:proofErr w:type="gramEnd"/>
      <w:r w:rsidRPr="00130DC1">
        <w:rPr>
          <w:rFonts w:asciiTheme="minorHAnsi" w:hAnsiTheme="minorHAnsi" w:cs="Arial"/>
        </w:rPr>
        <w:t xml:space="preserve"> </w:t>
      </w:r>
      <w:proofErr w:type="gramStart"/>
      <w:r w:rsidRPr="00130DC1">
        <w:rPr>
          <w:rFonts w:asciiTheme="minorHAnsi" w:hAnsiTheme="minorHAnsi" w:cs="Arial"/>
        </w:rPr>
        <w:t xml:space="preserve">Retrieved from </w:t>
      </w:r>
      <w:hyperlink r:id="rId35" w:history="1">
        <w:r w:rsidRPr="00130DC1">
          <w:rPr>
            <w:rStyle w:val="Hyperlink"/>
            <w:rFonts w:asciiTheme="minorHAnsi" w:hAnsiTheme="minorHAnsi" w:cs="Arial"/>
            <w:u w:val="none"/>
          </w:rPr>
          <w:t>www.greaterchristchurch.org.nz/News/PDF/Final-GreaterChristchurchHousingMarketAssessment-20130817.pdf</w:t>
        </w:r>
      </w:hyperlink>
      <w:r w:rsidR="002F6635" w:rsidRPr="002F6635">
        <w:rPr>
          <w:rStyle w:val="Hyperlink"/>
          <w:rFonts w:asciiTheme="minorHAnsi" w:hAnsiTheme="minorHAnsi" w:cs="Arial"/>
          <w:color w:val="auto"/>
          <w:u w:val="none"/>
        </w:rPr>
        <w:t>.</w:t>
      </w:r>
      <w:proofErr w:type="gramEnd"/>
    </w:p>
    <w:p w:rsidR="009E0C89" w:rsidRPr="002F6635" w:rsidRDefault="009E0C89" w:rsidP="002F6635">
      <w:pPr>
        <w:pStyle w:val="FootnoteText"/>
        <w:spacing w:before="120" w:after="120" w:line="280" w:lineRule="atLeast"/>
        <w:ind w:left="0" w:firstLine="0"/>
        <w:rPr>
          <w:rFonts w:asciiTheme="minorHAnsi" w:hAnsiTheme="minorHAnsi" w:cs="Arial"/>
          <w:sz w:val="22"/>
          <w:szCs w:val="22"/>
          <w:lang w:val="en-NZ"/>
        </w:rPr>
      </w:pPr>
      <w:r w:rsidRPr="00130DC1">
        <w:rPr>
          <w:rFonts w:asciiTheme="minorHAnsi" w:hAnsiTheme="minorHAnsi" w:cs="Arial"/>
          <w:sz w:val="22"/>
          <w:szCs w:val="22"/>
        </w:rPr>
        <w:t>Hamilton City Council. Unpublished.</w:t>
      </w:r>
      <w:r w:rsidRPr="00130DC1">
        <w:rPr>
          <w:rFonts w:asciiTheme="minorHAnsi" w:hAnsiTheme="minorHAnsi" w:cs="Arial"/>
          <w:i/>
          <w:sz w:val="22"/>
          <w:szCs w:val="22"/>
        </w:rPr>
        <w:t xml:space="preserve"> Submission by Hamilton City Council: New Zealand Productivity Commission’s November 2014 Issues Paper ‘Using land for housing’ 23 January 2015.</w:t>
      </w:r>
      <w:r w:rsidRPr="00130DC1">
        <w:rPr>
          <w:rFonts w:asciiTheme="minorHAnsi" w:hAnsiTheme="minorHAnsi" w:cs="Arial"/>
          <w:sz w:val="22"/>
          <w:szCs w:val="22"/>
        </w:rPr>
        <w:t xml:space="preserve"> Retrieved from </w:t>
      </w:r>
      <w:hyperlink r:id="rId36" w:history="1">
        <w:r w:rsidRPr="00A11373">
          <w:rPr>
            <w:rStyle w:val="Hyperlink"/>
            <w:rFonts w:asciiTheme="minorHAnsi" w:hAnsiTheme="minorHAnsi" w:cs="Arial"/>
            <w:sz w:val="22"/>
            <w:szCs w:val="22"/>
            <w:u w:val="none"/>
          </w:rPr>
          <w:t>www.productivity.govt.nz/sites/default/files/sub-using-land-for-housing-70-hamilton-city-council-377Kb.pdf</w:t>
        </w:r>
      </w:hyperlink>
      <w:r w:rsidR="002F6635" w:rsidRPr="002F6635">
        <w:rPr>
          <w:rStyle w:val="Hyperlink"/>
          <w:rFonts w:asciiTheme="minorHAnsi" w:hAnsiTheme="minorHAnsi" w:cs="Arial"/>
          <w:color w:val="auto"/>
          <w:sz w:val="22"/>
          <w:szCs w:val="22"/>
          <w:u w:val="none"/>
          <w:lang w:val="en-NZ"/>
        </w:rPr>
        <w:t>.</w:t>
      </w:r>
    </w:p>
    <w:p w:rsidR="009E0C89" w:rsidRPr="002F6635" w:rsidRDefault="009E0C89" w:rsidP="002F6635">
      <w:pPr>
        <w:pStyle w:val="FootnoteText"/>
        <w:spacing w:before="120" w:after="120" w:line="280" w:lineRule="atLeast"/>
        <w:ind w:left="0" w:firstLine="0"/>
        <w:rPr>
          <w:rFonts w:asciiTheme="minorHAnsi" w:hAnsiTheme="minorHAnsi" w:cs="Arial"/>
          <w:sz w:val="22"/>
          <w:szCs w:val="22"/>
          <w:lang w:val="en-NZ"/>
        </w:rPr>
      </w:pPr>
      <w:r w:rsidRPr="00130DC1">
        <w:rPr>
          <w:rFonts w:asciiTheme="minorHAnsi" w:hAnsiTheme="minorHAnsi" w:cs="Arial"/>
          <w:sz w:val="22"/>
          <w:szCs w:val="22"/>
        </w:rPr>
        <w:t xml:space="preserve">Jones C, Smith F, Mead A, Greenway A, Taylor J. 2012. </w:t>
      </w:r>
      <w:r w:rsidRPr="00130DC1">
        <w:rPr>
          <w:rFonts w:asciiTheme="minorHAnsi" w:hAnsiTheme="minorHAnsi" w:cs="Arial"/>
          <w:i/>
          <w:sz w:val="22"/>
          <w:szCs w:val="22"/>
        </w:rPr>
        <w:t>Housing Stock and Housing Demand: Tauranga City.</w:t>
      </w:r>
      <w:r w:rsidRPr="00130DC1">
        <w:rPr>
          <w:rFonts w:asciiTheme="minorHAnsi" w:hAnsiTheme="minorHAnsi" w:cs="Arial"/>
          <w:sz w:val="22"/>
          <w:szCs w:val="22"/>
        </w:rPr>
        <w:t xml:space="preserve"> Tauranga: </w:t>
      </w:r>
      <w:proofErr w:type="spellStart"/>
      <w:r w:rsidRPr="00130DC1">
        <w:rPr>
          <w:rFonts w:asciiTheme="minorHAnsi" w:hAnsiTheme="minorHAnsi" w:cs="Arial"/>
          <w:sz w:val="22"/>
          <w:szCs w:val="22"/>
        </w:rPr>
        <w:t>SmartGrowth</w:t>
      </w:r>
      <w:proofErr w:type="spellEnd"/>
      <w:r w:rsidRPr="00130DC1">
        <w:rPr>
          <w:rFonts w:asciiTheme="minorHAnsi" w:hAnsiTheme="minorHAnsi" w:cs="Arial"/>
          <w:sz w:val="22"/>
          <w:szCs w:val="22"/>
        </w:rPr>
        <w:t xml:space="preserve">/Tauranga City Council. Retrieved from </w:t>
      </w:r>
      <w:hyperlink r:id="rId37" w:history="1">
        <w:r w:rsidRPr="00A11373">
          <w:rPr>
            <w:rStyle w:val="Hyperlink"/>
            <w:rFonts w:asciiTheme="minorHAnsi" w:hAnsiTheme="minorHAnsi" w:cs="Arial"/>
            <w:sz w:val="22"/>
            <w:szCs w:val="22"/>
            <w:u w:val="none"/>
          </w:rPr>
          <w:t>www.smartgrowthbop.org.nz/media/52877/draft_housing_stock_and_housing_demand_tauranga_2012.pdf</w:t>
        </w:r>
      </w:hyperlink>
      <w:r w:rsidR="002F6635" w:rsidRPr="002F6635">
        <w:rPr>
          <w:rStyle w:val="Hyperlink"/>
          <w:rFonts w:asciiTheme="minorHAnsi" w:hAnsiTheme="minorHAnsi" w:cs="Arial"/>
          <w:color w:val="auto"/>
          <w:sz w:val="22"/>
          <w:szCs w:val="22"/>
          <w:u w:val="none"/>
          <w:lang w:val="en-NZ"/>
        </w:rPr>
        <w:t>.</w:t>
      </w:r>
    </w:p>
    <w:p w:rsidR="009E0C89" w:rsidRPr="002F6635" w:rsidRDefault="009E0C89" w:rsidP="002F6635">
      <w:pPr>
        <w:pStyle w:val="FootnoteText"/>
        <w:spacing w:before="120" w:after="120" w:line="280" w:lineRule="atLeast"/>
        <w:ind w:left="0" w:firstLine="0"/>
        <w:rPr>
          <w:rStyle w:val="Hyperlink"/>
          <w:rFonts w:asciiTheme="minorHAnsi" w:hAnsiTheme="minorHAnsi" w:cs="Arial"/>
          <w:sz w:val="22"/>
          <w:szCs w:val="22"/>
          <w:lang w:val="en-NZ"/>
        </w:rPr>
      </w:pPr>
      <w:r w:rsidRPr="00130DC1">
        <w:rPr>
          <w:rFonts w:asciiTheme="minorHAnsi" w:hAnsiTheme="minorHAnsi" w:cs="Arial"/>
          <w:sz w:val="22"/>
          <w:szCs w:val="22"/>
        </w:rPr>
        <w:t xml:space="preserve">Lees K. 2015. </w:t>
      </w:r>
      <w:r w:rsidRPr="00130DC1">
        <w:rPr>
          <w:rFonts w:asciiTheme="minorHAnsi" w:hAnsiTheme="minorHAnsi" w:cs="Arial"/>
          <w:i/>
          <w:sz w:val="22"/>
          <w:szCs w:val="22"/>
        </w:rPr>
        <w:t>Land use regulation in New Zealand: Improving the evidence base</w:t>
      </w:r>
      <w:r w:rsidRPr="00130DC1">
        <w:rPr>
          <w:rFonts w:asciiTheme="minorHAnsi" w:hAnsiTheme="minorHAnsi" w:cs="Arial"/>
          <w:sz w:val="22"/>
          <w:szCs w:val="22"/>
        </w:rPr>
        <w:t xml:space="preserve">. Report to the New Zealand Productivity Commission by NZIER. Wellington: NZIER. Retrieved from </w:t>
      </w:r>
      <w:hyperlink r:id="rId38" w:history="1">
        <w:r w:rsidRPr="00A11373">
          <w:rPr>
            <w:rStyle w:val="Hyperlink"/>
            <w:rFonts w:asciiTheme="minorHAnsi" w:hAnsiTheme="minorHAnsi" w:cs="Arial"/>
            <w:sz w:val="22"/>
            <w:szCs w:val="22"/>
            <w:u w:val="none"/>
          </w:rPr>
          <w:t>www.productivity.govt.nz/sites/default/files/using-land-nzier-land-use-regulation-report.pdf</w:t>
        </w:r>
      </w:hyperlink>
      <w:r w:rsidR="002F6635" w:rsidRPr="002F6635">
        <w:rPr>
          <w:rStyle w:val="Hyperlink"/>
          <w:rFonts w:asciiTheme="minorHAnsi" w:hAnsiTheme="minorHAnsi" w:cs="Arial"/>
          <w:color w:val="auto"/>
          <w:sz w:val="22"/>
          <w:szCs w:val="22"/>
          <w:u w:val="none"/>
          <w:lang w:val="en-NZ"/>
        </w:rPr>
        <w:t>.</w:t>
      </w:r>
    </w:p>
    <w:p w:rsidR="009E0C89" w:rsidRPr="00130DC1" w:rsidRDefault="009E0C89" w:rsidP="008835B1">
      <w:pPr>
        <w:jc w:val="left"/>
        <w:rPr>
          <w:rStyle w:val="Hyperlink"/>
          <w:rFonts w:asciiTheme="minorHAnsi" w:hAnsiTheme="minorHAnsi" w:cs="Arial"/>
        </w:rPr>
      </w:pPr>
      <w:proofErr w:type="gramStart"/>
      <w:r w:rsidRPr="00130DC1">
        <w:rPr>
          <w:rFonts w:asciiTheme="minorHAnsi" w:hAnsiTheme="minorHAnsi" w:cs="Arial"/>
        </w:rPr>
        <w:t>New Plymouth District Council.</w:t>
      </w:r>
      <w:proofErr w:type="gramEnd"/>
      <w:r w:rsidRPr="00130DC1">
        <w:rPr>
          <w:rFonts w:asciiTheme="minorHAnsi" w:hAnsiTheme="minorHAnsi" w:cs="Arial"/>
        </w:rPr>
        <w:t xml:space="preserve"> 2008. </w:t>
      </w:r>
      <w:r w:rsidRPr="00130DC1">
        <w:rPr>
          <w:rFonts w:asciiTheme="minorHAnsi" w:hAnsiTheme="minorHAnsi" w:cs="Arial"/>
          <w:i/>
        </w:rPr>
        <w:t>Final Framework for Growth</w:t>
      </w:r>
      <w:r w:rsidRPr="00130DC1">
        <w:rPr>
          <w:rFonts w:asciiTheme="minorHAnsi" w:hAnsiTheme="minorHAnsi" w:cs="Arial"/>
        </w:rPr>
        <w:t xml:space="preserve">. New Plymouth: New Plymouth District Council. </w:t>
      </w:r>
      <w:proofErr w:type="gramStart"/>
      <w:r w:rsidRPr="00130DC1">
        <w:rPr>
          <w:rFonts w:asciiTheme="minorHAnsi" w:hAnsiTheme="minorHAnsi" w:cs="Arial"/>
        </w:rPr>
        <w:t>Retrieved fro</w:t>
      </w:r>
      <w:r w:rsidRPr="00A11373">
        <w:rPr>
          <w:rFonts w:asciiTheme="minorHAnsi" w:hAnsiTheme="minorHAnsi" w:cs="Arial"/>
        </w:rPr>
        <w:t xml:space="preserve">m </w:t>
      </w:r>
      <w:hyperlink r:id="rId39" w:history="1">
        <w:r w:rsidRPr="00A11373">
          <w:rPr>
            <w:rStyle w:val="Hyperlink"/>
            <w:rFonts w:asciiTheme="minorHAnsi" w:hAnsiTheme="minorHAnsi" w:cs="Arial"/>
            <w:u w:val="none"/>
          </w:rPr>
          <w:t>www.newplymouthnz.com/NR/rdonlyres/06668575-85BD-4B5F-8D6C-BD52F5F398E3/0/FrameworkForGrowthFinal.pdf</w:t>
        </w:r>
      </w:hyperlink>
      <w:r w:rsidR="002F6635" w:rsidRPr="002F6635">
        <w:rPr>
          <w:rStyle w:val="Hyperlink"/>
          <w:rFonts w:asciiTheme="minorHAnsi" w:hAnsiTheme="minorHAnsi" w:cs="Arial"/>
          <w:color w:val="auto"/>
          <w:u w:val="none"/>
        </w:rPr>
        <w:t>.</w:t>
      </w:r>
      <w:proofErr w:type="gramEnd"/>
    </w:p>
    <w:p w:rsidR="009E0C89" w:rsidRPr="002F6635" w:rsidRDefault="009E0C89" w:rsidP="002F6635">
      <w:pPr>
        <w:pStyle w:val="FootnoteText"/>
        <w:spacing w:before="120" w:after="120" w:line="280" w:lineRule="atLeast"/>
        <w:ind w:left="0" w:firstLine="0"/>
        <w:rPr>
          <w:rStyle w:val="Hyperlink"/>
          <w:rFonts w:asciiTheme="minorHAnsi" w:hAnsiTheme="minorHAnsi" w:cs="Arial"/>
          <w:sz w:val="22"/>
          <w:szCs w:val="22"/>
          <w:lang w:val="en-NZ"/>
        </w:rPr>
      </w:pPr>
      <w:r w:rsidRPr="00130DC1">
        <w:rPr>
          <w:rFonts w:asciiTheme="minorHAnsi" w:hAnsiTheme="minorHAnsi" w:cs="Arial"/>
          <w:sz w:val="22"/>
          <w:szCs w:val="22"/>
        </w:rPr>
        <w:t xml:space="preserve">New Plymouth District Council. 2015. </w:t>
      </w:r>
      <w:r w:rsidRPr="00130DC1">
        <w:rPr>
          <w:rFonts w:asciiTheme="minorHAnsi" w:hAnsiTheme="minorHAnsi" w:cs="Arial"/>
          <w:i/>
          <w:sz w:val="22"/>
          <w:szCs w:val="22"/>
        </w:rPr>
        <w:t>New Plymouth District Blueprint</w:t>
      </w:r>
      <w:r w:rsidRPr="00130DC1">
        <w:rPr>
          <w:rFonts w:asciiTheme="minorHAnsi" w:hAnsiTheme="minorHAnsi" w:cs="Arial"/>
          <w:sz w:val="22"/>
          <w:szCs w:val="22"/>
        </w:rPr>
        <w:t xml:space="preserve">. Retrieved from </w:t>
      </w:r>
      <w:hyperlink r:id="rId40" w:history="1">
        <w:r w:rsidRPr="00A11373">
          <w:rPr>
            <w:rStyle w:val="Hyperlink"/>
            <w:rFonts w:asciiTheme="minorHAnsi" w:hAnsiTheme="minorHAnsi" w:cs="Arial"/>
            <w:sz w:val="22"/>
            <w:szCs w:val="22"/>
            <w:u w:val="none"/>
          </w:rPr>
          <w:t>www.newplymouthnz.com/CouncilDocuments/PlansAndStrategies/NewPlymouthDistrictBlueprint.htm</w:t>
        </w:r>
      </w:hyperlink>
      <w:r w:rsidR="002F6635" w:rsidRPr="002F6635">
        <w:rPr>
          <w:rStyle w:val="Hyperlink"/>
          <w:rFonts w:asciiTheme="minorHAnsi" w:hAnsiTheme="minorHAnsi" w:cs="Arial"/>
          <w:color w:val="auto"/>
          <w:sz w:val="22"/>
          <w:szCs w:val="22"/>
          <w:u w:val="none"/>
          <w:lang w:val="en-NZ"/>
        </w:rPr>
        <w:t>.</w:t>
      </w:r>
    </w:p>
    <w:p w:rsidR="009E0C89" w:rsidRPr="002F6635" w:rsidRDefault="009E0C89" w:rsidP="002F6635">
      <w:pPr>
        <w:pStyle w:val="FootnoteText"/>
        <w:spacing w:before="120" w:after="120" w:line="280" w:lineRule="atLeast"/>
        <w:ind w:left="0" w:firstLine="0"/>
        <w:rPr>
          <w:rStyle w:val="Hyperlink"/>
          <w:rFonts w:asciiTheme="minorHAnsi" w:hAnsiTheme="minorHAnsi" w:cs="Arial"/>
          <w:sz w:val="22"/>
          <w:szCs w:val="22"/>
          <w:lang w:val="en-NZ"/>
        </w:rPr>
      </w:pPr>
      <w:r w:rsidRPr="00130DC1">
        <w:rPr>
          <w:rFonts w:asciiTheme="minorHAnsi" w:hAnsiTheme="minorHAnsi" w:cs="Arial"/>
          <w:sz w:val="22"/>
          <w:szCs w:val="22"/>
        </w:rPr>
        <w:t xml:space="preserve">Phil McDermott Consultants. 2008. </w:t>
      </w:r>
      <w:r w:rsidRPr="00130DC1">
        <w:rPr>
          <w:rFonts w:asciiTheme="minorHAnsi" w:hAnsiTheme="minorHAnsi" w:cs="Arial"/>
          <w:i/>
          <w:sz w:val="22"/>
          <w:szCs w:val="22"/>
        </w:rPr>
        <w:t>Tauranga City and Western Bay of Plenty Retail and Commercial Strategy: Peer Review</w:t>
      </w:r>
      <w:r w:rsidRPr="00130DC1">
        <w:rPr>
          <w:rFonts w:asciiTheme="minorHAnsi" w:hAnsiTheme="minorHAnsi" w:cs="Arial"/>
          <w:sz w:val="22"/>
          <w:szCs w:val="22"/>
        </w:rPr>
        <w:t xml:space="preserve">. Matakana: Phil McDermott Consultants. Retrieved from </w:t>
      </w:r>
      <w:hyperlink r:id="rId41" w:history="1">
        <w:r w:rsidRPr="00A11373">
          <w:rPr>
            <w:rStyle w:val="Hyperlink"/>
            <w:rFonts w:asciiTheme="minorHAnsi" w:hAnsiTheme="minorHAnsi" w:cs="Arial"/>
            <w:sz w:val="22"/>
            <w:szCs w:val="22"/>
            <w:u w:val="none"/>
          </w:rPr>
          <w:t>www.smartgrowthbop.org.nz/media/1327/Retail-and-Commercial-Strategy-Peer-Review-2008.pdf</w:t>
        </w:r>
      </w:hyperlink>
      <w:r w:rsidR="002F6635" w:rsidRPr="002F6635">
        <w:rPr>
          <w:rStyle w:val="Hyperlink"/>
          <w:rFonts w:asciiTheme="minorHAnsi" w:hAnsiTheme="minorHAnsi" w:cs="Arial"/>
          <w:color w:val="auto"/>
          <w:sz w:val="22"/>
          <w:szCs w:val="22"/>
          <w:u w:val="none"/>
          <w:lang w:val="en-NZ"/>
        </w:rPr>
        <w:t>.</w:t>
      </w:r>
    </w:p>
    <w:p w:rsidR="009E0C89" w:rsidRPr="002F6635" w:rsidRDefault="009E0C89" w:rsidP="002F6635">
      <w:pPr>
        <w:pStyle w:val="FootnoteText"/>
        <w:spacing w:before="120" w:after="120" w:line="280" w:lineRule="atLeast"/>
        <w:ind w:left="0" w:firstLine="0"/>
        <w:rPr>
          <w:rStyle w:val="Hyperlink"/>
          <w:sz w:val="22"/>
          <w:szCs w:val="22"/>
          <w:u w:val="none"/>
          <w:lang w:val="en-NZ"/>
        </w:rPr>
      </w:pPr>
      <w:r w:rsidRPr="001B431E">
        <w:rPr>
          <w:rFonts w:asciiTheme="minorHAnsi" w:hAnsiTheme="minorHAnsi" w:cs="Arial"/>
          <w:sz w:val="22"/>
          <w:szCs w:val="22"/>
        </w:rPr>
        <w:t xml:space="preserve">Productivity Commission. 2015. </w:t>
      </w:r>
      <w:r w:rsidRPr="001B431E">
        <w:rPr>
          <w:rFonts w:asciiTheme="minorHAnsi" w:hAnsiTheme="minorHAnsi" w:cs="Arial"/>
          <w:i/>
          <w:sz w:val="22"/>
          <w:szCs w:val="22"/>
        </w:rPr>
        <w:t>Using land for housing</w:t>
      </w:r>
      <w:r w:rsidRPr="001B431E">
        <w:rPr>
          <w:rFonts w:asciiTheme="minorHAnsi" w:hAnsiTheme="minorHAnsi" w:cs="Arial"/>
          <w:sz w:val="22"/>
          <w:szCs w:val="22"/>
        </w:rPr>
        <w:t xml:space="preserve">. Retrieved from </w:t>
      </w:r>
      <w:hyperlink r:id="rId42" w:history="1">
        <w:r w:rsidRPr="001B431E">
          <w:rPr>
            <w:rStyle w:val="Hyperlink"/>
            <w:rFonts w:asciiTheme="minorHAnsi" w:hAnsiTheme="minorHAnsi" w:cs="Arial"/>
            <w:sz w:val="22"/>
            <w:szCs w:val="22"/>
            <w:u w:val="none"/>
          </w:rPr>
          <w:t>http://www.productivity.govt.nz/inquiry-content/2060?stage=4</w:t>
        </w:r>
      </w:hyperlink>
      <w:r w:rsidR="002F6635" w:rsidRPr="002F6635">
        <w:rPr>
          <w:rStyle w:val="Hyperlink"/>
          <w:rFonts w:asciiTheme="minorHAnsi" w:hAnsiTheme="minorHAnsi" w:cs="Arial"/>
          <w:color w:val="auto"/>
          <w:sz w:val="22"/>
          <w:szCs w:val="22"/>
          <w:u w:val="none"/>
          <w:lang w:val="en-NZ"/>
        </w:rPr>
        <w:t>.</w:t>
      </w:r>
    </w:p>
    <w:p w:rsidR="009E0C89" w:rsidRPr="002F6635" w:rsidRDefault="009E0C89" w:rsidP="002F6635">
      <w:pPr>
        <w:pStyle w:val="FootnoteText"/>
        <w:spacing w:before="120" w:after="120" w:line="280" w:lineRule="atLeast"/>
        <w:ind w:left="0" w:firstLine="0"/>
        <w:rPr>
          <w:rFonts w:asciiTheme="minorHAnsi" w:hAnsiTheme="minorHAnsi" w:cs="Arial"/>
          <w:sz w:val="22"/>
          <w:szCs w:val="22"/>
          <w:lang w:val="en-NZ"/>
        </w:rPr>
      </w:pPr>
      <w:r w:rsidRPr="00130DC1">
        <w:rPr>
          <w:rFonts w:asciiTheme="minorHAnsi" w:hAnsiTheme="minorHAnsi" w:cs="Arial"/>
          <w:sz w:val="22"/>
          <w:szCs w:val="22"/>
        </w:rPr>
        <w:t>Queenstown Lakes District Council. 2013.</w:t>
      </w:r>
      <w:r w:rsidRPr="00130DC1">
        <w:rPr>
          <w:rFonts w:asciiTheme="minorHAnsi" w:hAnsiTheme="minorHAnsi" w:cs="Arial"/>
          <w:i/>
          <w:sz w:val="22"/>
          <w:szCs w:val="22"/>
        </w:rPr>
        <w:t xml:space="preserve"> Review of District Plan Business Zones Capacity and Development of Zoning Hierarchy</w:t>
      </w:r>
      <w:r w:rsidRPr="00130DC1">
        <w:rPr>
          <w:rFonts w:asciiTheme="minorHAnsi" w:hAnsiTheme="minorHAnsi" w:cs="Arial"/>
          <w:sz w:val="22"/>
          <w:szCs w:val="22"/>
        </w:rPr>
        <w:t xml:space="preserve">. Prepared for Queenstown Lakes District Council by McDermott Miller Strategies Ltd and Allan Planning and Research Ltd. Queenstown: Queenstown Lakes District Council. Retrieved from </w:t>
      </w:r>
      <w:hyperlink r:id="rId43" w:history="1">
        <w:r w:rsidRPr="00A11373">
          <w:rPr>
            <w:rStyle w:val="Hyperlink"/>
            <w:rFonts w:asciiTheme="minorHAnsi" w:hAnsiTheme="minorHAnsi" w:cs="Arial"/>
            <w:sz w:val="22"/>
            <w:szCs w:val="22"/>
            <w:u w:val="none"/>
          </w:rPr>
          <w:t>www.qldc.govt.nz/assets/OldImages/Files/District_Plan_Review_Brochures/Business_Zones_Capacity_15_Nov_2013.pdf</w:t>
        </w:r>
      </w:hyperlink>
      <w:r w:rsidR="002F6635" w:rsidRPr="002F6635">
        <w:rPr>
          <w:rStyle w:val="Hyperlink"/>
          <w:rFonts w:asciiTheme="minorHAnsi" w:hAnsiTheme="minorHAnsi" w:cs="Arial"/>
          <w:color w:val="auto"/>
          <w:sz w:val="22"/>
          <w:szCs w:val="22"/>
          <w:u w:val="none"/>
          <w:lang w:val="en-NZ"/>
        </w:rPr>
        <w:t>.</w:t>
      </w:r>
    </w:p>
    <w:p w:rsidR="009E0C89" w:rsidRPr="00A11373" w:rsidRDefault="009E0C89" w:rsidP="008835B1">
      <w:pPr>
        <w:pStyle w:val="NormalWeb"/>
        <w:spacing w:before="120" w:after="120" w:line="280" w:lineRule="atLeast"/>
        <w:rPr>
          <w:rFonts w:asciiTheme="minorHAnsi" w:hAnsiTheme="minorHAnsi" w:cs="Arial"/>
          <w:sz w:val="22"/>
          <w:szCs w:val="22"/>
          <w:lang w:val="en-GB"/>
        </w:rPr>
      </w:pPr>
      <w:proofErr w:type="gramStart"/>
      <w:r w:rsidRPr="00130DC1">
        <w:rPr>
          <w:rFonts w:asciiTheme="minorHAnsi" w:hAnsiTheme="minorHAnsi" w:cs="Arial"/>
          <w:sz w:val="22"/>
          <w:szCs w:val="22"/>
        </w:rPr>
        <w:t>Queenstown Lakes District Council.</w:t>
      </w:r>
      <w:proofErr w:type="gramEnd"/>
      <w:r w:rsidRPr="00130DC1">
        <w:rPr>
          <w:rFonts w:asciiTheme="minorHAnsi" w:hAnsiTheme="minorHAnsi" w:cs="Arial"/>
          <w:sz w:val="22"/>
          <w:szCs w:val="22"/>
        </w:rPr>
        <w:t xml:space="preserve"> </w:t>
      </w:r>
      <w:proofErr w:type="gramStart"/>
      <w:r w:rsidRPr="00130DC1">
        <w:rPr>
          <w:rFonts w:asciiTheme="minorHAnsi" w:hAnsiTheme="minorHAnsi" w:cs="Arial"/>
          <w:sz w:val="22"/>
          <w:szCs w:val="22"/>
        </w:rPr>
        <w:t xml:space="preserve">2015a. </w:t>
      </w:r>
      <w:r w:rsidRPr="00130DC1">
        <w:rPr>
          <w:rFonts w:asciiTheme="minorHAnsi" w:hAnsiTheme="minorHAnsi" w:cs="Arial"/>
          <w:i/>
          <w:sz w:val="22"/>
          <w:szCs w:val="22"/>
        </w:rPr>
        <w:t>Dwelling Capacity Model.</w:t>
      </w:r>
      <w:proofErr w:type="gramEnd"/>
      <w:r w:rsidRPr="00130DC1">
        <w:rPr>
          <w:rFonts w:asciiTheme="minorHAnsi" w:hAnsiTheme="minorHAnsi" w:cs="Arial"/>
          <w:sz w:val="22"/>
          <w:szCs w:val="22"/>
        </w:rPr>
        <w:t xml:space="preserve"> </w:t>
      </w:r>
      <w:proofErr w:type="gramStart"/>
      <w:r w:rsidRPr="00130DC1">
        <w:rPr>
          <w:rFonts w:asciiTheme="minorHAnsi" w:hAnsiTheme="minorHAnsi" w:cs="Arial"/>
          <w:sz w:val="22"/>
          <w:szCs w:val="22"/>
        </w:rPr>
        <w:t xml:space="preserve">Retrieved from </w:t>
      </w:r>
      <w:hyperlink r:id="rId44" w:history="1">
        <w:r w:rsidRPr="00A11373">
          <w:rPr>
            <w:rStyle w:val="Hyperlink"/>
            <w:rFonts w:asciiTheme="minorHAnsi" w:eastAsia="SimSun" w:hAnsiTheme="minorHAnsi" w:cs="Arial"/>
            <w:sz w:val="22"/>
            <w:szCs w:val="22"/>
            <w:u w:val="none"/>
            <w:lang w:val="en-GB"/>
          </w:rPr>
          <w:t>www.qldc.govt.nz/planning/district-plan/proposed-district-plan/dwelling-capacity-model-dcm/</w:t>
        </w:r>
      </w:hyperlink>
      <w:r w:rsidR="002F6635" w:rsidRPr="002F6635">
        <w:rPr>
          <w:rStyle w:val="Hyperlink"/>
          <w:rFonts w:asciiTheme="minorHAnsi" w:eastAsia="SimSun" w:hAnsiTheme="minorHAnsi" w:cs="Arial"/>
          <w:color w:val="auto"/>
          <w:sz w:val="22"/>
          <w:szCs w:val="22"/>
          <w:u w:val="none"/>
          <w:lang w:val="en-GB"/>
        </w:rPr>
        <w:t>.</w:t>
      </w:r>
      <w:proofErr w:type="gramEnd"/>
      <w:r w:rsidRPr="002F6635">
        <w:rPr>
          <w:rStyle w:val="Hyperlink"/>
          <w:rFonts w:asciiTheme="minorHAnsi" w:eastAsia="SimSun" w:hAnsiTheme="minorHAnsi" w:cs="Arial"/>
          <w:color w:val="auto"/>
          <w:sz w:val="22"/>
          <w:szCs w:val="22"/>
          <w:u w:val="none"/>
          <w:lang w:val="en-GB"/>
        </w:rPr>
        <w:t xml:space="preserve"> </w:t>
      </w:r>
    </w:p>
    <w:p w:rsidR="009E0C89" w:rsidRPr="00130DC1" w:rsidRDefault="009E0C89" w:rsidP="002F6635">
      <w:pPr>
        <w:pStyle w:val="FootnoteText"/>
        <w:spacing w:before="120" w:after="120" w:line="280" w:lineRule="atLeast"/>
        <w:ind w:left="0" w:firstLine="0"/>
        <w:rPr>
          <w:rFonts w:asciiTheme="minorHAnsi" w:hAnsiTheme="minorHAnsi" w:cs="Arial"/>
          <w:sz w:val="22"/>
          <w:szCs w:val="22"/>
          <w:lang w:val="en-GB"/>
        </w:rPr>
      </w:pPr>
      <w:r w:rsidRPr="00130DC1">
        <w:rPr>
          <w:rFonts w:asciiTheme="minorHAnsi" w:hAnsiTheme="minorHAnsi" w:cs="Arial"/>
          <w:sz w:val="22"/>
          <w:szCs w:val="22"/>
        </w:rPr>
        <w:t xml:space="preserve">Queenstown Lakes District Council. 2015b. </w:t>
      </w:r>
      <w:r w:rsidRPr="00130DC1">
        <w:rPr>
          <w:rFonts w:asciiTheme="minorHAnsi" w:hAnsiTheme="minorHAnsi" w:cs="Arial"/>
          <w:i/>
          <w:sz w:val="22"/>
          <w:szCs w:val="22"/>
        </w:rPr>
        <w:t>District Capacity Fact Sheet.</w:t>
      </w:r>
      <w:r w:rsidRPr="00130DC1">
        <w:rPr>
          <w:rFonts w:asciiTheme="minorHAnsi" w:hAnsiTheme="minorHAnsi" w:cs="Arial"/>
          <w:sz w:val="22"/>
          <w:szCs w:val="22"/>
        </w:rPr>
        <w:t xml:space="preserve"> Retrieved from </w:t>
      </w:r>
      <w:hyperlink r:id="rId45" w:history="1">
        <w:r w:rsidRPr="00A11373">
          <w:rPr>
            <w:rStyle w:val="Hyperlink"/>
            <w:rFonts w:asciiTheme="minorHAnsi" w:hAnsiTheme="minorHAnsi" w:cs="Arial"/>
            <w:sz w:val="22"/>
            <w:szCs w:val="22"/>
            <w:u w:val="none"/>
            <w:lang w:val="en-GB"/>
          </w:rPr>
          <w:t>www.qldc.govt.nz/assets/Uploads/Planning/District-Plan/Fact-Sheets-and-other-resources/District-Capacity-March-2015.pdf</w:t>
        </w:r>
      </w:hyperlink>
      <w:r w:rsidR="002F6635" w:rsidRPr="002F6635">
        <w:rPr>
          <w:rStyle w:val="Hyperlink"/>
          <w:rFonts w:asciiTheme="minorHAnsi" w:hAnsiTheme="minorHAnsi" w:cs="Arial"/>
          <w:color w:val="auto"/>
          <w:sz w:val="22"/>
          <w:szCs w:val="22"/>
          <w:u w:val="none"/>
          <w:lang w:val="en-GB"/>
        </w:rPr>
        <w:t>.</w:t>
      </w:r>
    </w:p>
    <w:p w:rsidR="009E0C89" w:rsidRPr="002F6635" w:rsidRDefault="009E0C89" w:rsidP="002F6635">
      <w:pPr>
        <w:pStyle w:val="FootnoteText"/>
        <w:spacing w:before="120" w:after="120" w:line="280" w:lineRule="atLeast"/>
        <w:ind w:left="0" w:firstLine="0"/>
        <w:rPr>
          <w:rFonts w:asciiTheme="minorHAnsi" w:hAnsiTheme="minorHAnsi" w:cs="Arial"/>
          <w:sz w:val="22"/>
          <w:szCs w:val="22"/>
          <w:lang w:val="en-NZ"/>
        </w:rPr>
      </w:pPr>
      <w:r w:rsidRPr="00130DC1">
        <w:rPr>
          <w:rFonts w:asciiTheme="minorHAnsi" w:hAnsiTheme="minorHAnsi" w:cs="Arial"/>
          <w:sz w:val="22"/>
          <w:szCs w:val="22"/>
        </w:rPr>
        <w:t xml:space="preserve">Ralph A, Mead A, Smith F, Jordan L, </w:t>
      </w:r>
      <w:proofErr w:type="spellStart"/>
      <w:r w:rsidRPr="00130DC1">
        <w:rPr>
          <w:rFonts w:asciiTheme="minorHAnsi" w:hAnsiTheme="minorHAnsi" w:cs="Arial"/>
          <w:sz w:val="22"/>
          <w:szCs w:val="22"/>
        </w:rPr>
        <w:t>Martelli</w:t>
      </w:r>
      <w:proofErr w:type="spellEnd"/>
      <w:r w:rsidRPr="00130DC1">
        <w:rPr>
          <w:rFonts w:asciiTheme="minorHAnsi" w:hAnsiTheme="minorHAnsi" w:cs="Arial"/>
          <w:sz w:val="22"/>
          <w:szCs w:val="22"/>
        </w:rPr>
        <w:t xml:space="preserve"> P. 2012. </w:t>
      </w:r>
      <w:proofErr w:type="spellStart"/>
      <w:r w:rsidRPr="00130DC1">
        <w:rPr>
          <w:rFonts w:asciiTheme="minorHAnsi" w:hAnsiTheme="minorHAnsi" w:cs="Arial"/>
          <w:i/>
          <w:sz w:val="22"/>
          <w:szCs w:val="22"/>
        </w:rPr>
        <w:t>SmartGrowth</w:t>
      </w:r>
      <w:proofErr w:type="spellEnd"/>
      <w:r w:rsidRPr="00130DC1">
        <w:rPr>
          <w:rFonts w:asciiTheme="minorHAnsi" w:hAnsiTheme="minorHAnsi" w:cs="Arial"/>
          <w:i/>
          <w:sz w:val="22"/>
          <w:szCs w:val="22"/>
        </w:rPr>
        <w:t xml:space="preserve"> Strategy Update: Discussion Document: Review of Identified Residential Urban Growth Areas</w:t>
      </w:r>
      <w:r w:rsidRPr="00130DC1">
        <w:rPr>
          <w:rFonts w:asciiTheme="minorHAnsi" w:hAnsiTheme="minorHAnsi" w:cs="Arial"/>
          <w:sz w:val="22"/>
          <w:szCs w:val="22"/>
        </w:rPr>
        <w:t xml:space="preserve">. Tauranga: </w:t>
      </w:r>
      <w:proofErr w:type="spellStart"/>
      <w:r w:rsidRPr="00130DC1">
        <w:rPr>
          <w:rFonts w:asciiTheme="minorHAnsi" w:hAnsiTheme="minorHAnsi" w:cs="Arial"/>
          <w:sz w:val="22"/>
          <w:szCs w:val="22"/>
        </w:rPr>
        <w:t>SmartGrowth</w:t>
      </w:r>
      <w:proofErr w:type="spellEnd"/>
      <w:r w:rsidRPr="00130DC1">
        <w:rPr>
          <w:rFonts w:asciiTheme="minorHAnsi" w:hAnsiTheme="minorHAnsi" w:cs="Arial"/>
          <w:sz w:val="22"/>
          <w:szCs w:val="22"/>
        </w:rPr>
        <w:t xml:space="preserve">. Retrieved from </w:t>
      </w:r>
      <w:hyperlink r:id="rId46" w:history="1">
        <w:r w:rsidR="002F6635" w:rsidRPr="00A93A87">
          <w:rPr>
            <w:rStyle w:val="Hyperlink"/>
            <w:rFonts w:asciiTheme="minorHAnsi" w:hAnsiTheme="minorHAnsi" w:cs="Arial"/>
            <w:sz w:val="22"/>
            <w:szCs w:val="22"/>
            <w:u w:val="none"/>
          </w:rPr>
          <w:t>www.smartgrowthbop.org.nz/media/50979/identified_uga_s_stream_report__final_091112_.doc</w:t>
        </w:r>
      </w:hyperlink>
      <w:r w:rsidR="002F6635" w:rsidRPr="002F6635">
        <w:rPr>
          <w:rStyle w:val="Hyperlink"/>
          <w:rFonts w:asciiTheme="minorHAnsi" w:hAnsiTheme="minorHAnsi" w:cs="Arial"/>
          <w:color w:val="auto"/>
          <w:sz w:val="22"/>
          <w:szCs w:val="22"/>
          <w:u w:val="none"/>
          <w:lang w:val="en-NZ"/>
        </w:rPr>
        <w:t>.</w:t>
      </w:r>
    </w:p>
    <w:p w:rsidR="009E0C89" w:rsidRPr="00130DC1" w:rsidRDefault="009E0C89" w:rsidP="008835B1">
      <w:pPr>
        <w:jc w:val="left"/>
        <w:rPr>
          <w:rFonts w:asciiTheme="minorHAnsi" w:hAnsiTheme="minorHAnsi" w:cs="Arial"/>
        </w:rPr>
      </w:pPr>
      <w:r w:rsidRPr="00130DC1">
        <w:rPr>
          <w:rFonts w:asciiTheme="minorHAnsi" w:hAnsiTheme="minorHAnsi" w:cs="Arial"/>
        </w:rPr>
        <w:t xml:space="preserve">Sanderson K, Stokes F, Dixon H, </w:t>
      </w:r>
      <w:proofErr w:type="spellStart"/>
      <w:r w:rsidRPr="00130DC1">
        <w:rPr>
          <w:rFonts w:asciiTheme="minorHAnsi" w:hAnsiTheme="minorHAnsi" w:cs="Arial"/>
        </w:rPr>
        <w:t>Fareti</w:t>
      </w:r>
      <w:proofErr w:type="spellEnd"/>
      <w:r w:rsidRPr="00130DC1">
        <w:rPr>
          <w:rFonts w:asciiTheme="minorHAnsi" w:hAnsiTheme="minorHAnsi" w:cs="Arial"/>
        </w:rPr>
        <w:t xml:space="preserve"> N, Williamson J. 2016. </w:t>
      </w:r>
      <w:r w:rsidRPr="00130DC1">
        <w:rPr>
          <w:rFonts w:asciiTheme="minorHAnsi" w:hAnsiTheme="minorHAnsi" w:cs="Arial"/>
          <w:i/>
        </w:rPr>
        <w:t>Business land: problems and causes</w:t>
      </w:r>
      <w:r w:rsidRPr="00130DC1">
        <w:rPr>
          <w:rFonts w:asciiTheme="minorHAnsi" w:hAnsiTheme="minorHAnsi" w:cs="Arial"/>
        </w:rPr>
        <w:t xml:space="preserve">. Wellington: Business and Economic Research Ltd and </w:t>
      </w:r>
      <w:proofErr w:type="spellStart"/>
      <w:r w:rsidRPr="00130DC1">
        <w:rPr>
          <w:rFonts w:asciiTheme="minorHAnsi" w:hAnsiTheme="minorHAnsi" w:cs="Arial"/>
        </w:rPr>
        <w:t>Ascari</w:t>
      </w:r>
      <w:proofErr w:type="spellEnd"/>
      <w:r w:rsidRPr="00130DC1">
        <w:rPr>
          <w:rFonts w:asciiTheme="minorHAnsi" w:hAnsiTheme="minorHAnsi" w:cs="Arial"/>
        </w:rPr>
        <w:t xml:space="preserve">. </w:t>
      </w:r>
      <w:proofErr w:type="gramStart"/>
      <w:r w:rsidRPr="00130DC1">
        <w:rPr>
          <w:rFonts w:asciiTheme="minorHAnsi" w:hAnsiTheme="minorHAnsi" w:cs="Arial"/>
        </w:rPr>
        <w:t xml:space="preserve">Retrieved from </w:t>
      </w:r>
      <w:hyperlink r:id="rId47" w:history="1">
        <w:r w:rsidRPr="00A11373">
          <w:rPr>
            <w:rStyle w:val="Hyperlink"/>
            <w:rFonts w:asciiTheme="minorHAnsi" w:hAnsiTheme="minorHAnsi" w:cs="Arial"/>
            <w:u w:val="none"/>
          </w:rPr>
          <w:t>www.mfe.govt.nz/sites/default/files/media/Towns%20and%20cities/research-report-to-support-proposed-NPS_0.pdf</w:t>
        </w:r>
      </w:hyperlink>
      <w:r w:rsidR="002F6635" w:rsidRPr="002F6635">
        <w:rPr>
          <w:rStyle w:val="Hyperlink"/>
          <w:rFonts w:asciiTheme="minorHAnsi" w:hAnsiTheme="minorHAnsi" w:cs="Arial"/>
          <w:color w:val="auto"/>
          <w:u w:val="none"/>
        </w:rPr>
        <w:t>.</w:t>
      </w:r>
      <w:proofErr w:type="gramEnd"/>
      <w:r w:rsidRPr="00130DC1">
        <w:rPr>
          <w:rFonts w:asciiTheme="minorHAnsi" w:hAnsiTheme="minorHAnsi" w:cs="Arial"/>
        </w:rPr>
        <w:t xml:space="preserve"> </w:t>
      </w:r>
    </w:p>
    <w:p w:rsidR="009E0C89" w:rsidRPr="00A11373" w:rsidRDefault="009E0C89" w:rsidP="008835B1">
      <w:pPr>
        <w:jc w:val="left"/>
        <w:rPr>
          <w:rFonts w:asciiTheme="minorHAnsi" w:hAnsiTheme="minorHAnsi" w:cs="Arial"/>
          <w:color w:val="0000FF" w:themeColor="hyperlink"/>
        </w:rPr>
      </w:pPr>
      <w:proofErr w:type="gramStart"/>
      <w:r w:rsidRPr="00130DC1">
        <w:rPr>
          <w:rFonts w:asciiTheme="minorHAnsi" w:hAnsiTheme="minorHAnsi" w:cs="Arial"/>
        </w:rPr>
        <w:t>Selwyn District Council.</w:t>
      </w:r>
      <w:proofErr w:type="gramEnd"/>
      <w:r w:rsidRPr="00130DC1">
        <w:rPr>
          <w:rFonts w:asciiTheme="minorHAnsi" w:hAnsiTheme="minorHAnsi" w:cs="Arial"/>
        </w:rPr>
        <w:t xml:space="preserve"> </w:t>
      </w:r>
      <w:proofErr w:type="gramStart"/>
      <w:r w:rsidRPr="00130DC1">
        <w:rPr>
          <w:rFonts w:asciiTheme="minorHAnsi" w:hAnsiTheme="minorHAnsi" w:cs="Arial"/>
        </w:rPr>
        <w:t xml:space="preserve">2014. </w:t>
      </w:r>
      <w:r w:rsidRPr="00130DC1">
        <w:rPr>
          <w:rFonts w:asciiTheme="minorHAnsi" w:hAnsiTheme="minorHAnsi" w:cs="Arial"/>
          <w:i/>
        </w:rPr>
        <w:t>Selwyn District Council Rural Residential Strategy</w:t>
      </w:r>
      <w:r w:rsidRPr="00130DC1">
        <w:rPr>
          <w:rFonts w:asciiTheme="minorHAnsi" w:hAnsiTheme="minorHAnsi" w:cs="Arial"/>
        </w:rPr>
        <w:t>.</w:t>
      </w:r>
      <w:proofErr w:type="gramEnd"/>
      <w:r w:rsidRPr="00130DC1">
        <w:rPr>
          <w:rFonts w:asciiTheme="minorHAnsi" w:hAnsiTheme="minorHAnsi" w:cs="Arial"/>
        </w:rPr>
        <w:t xml:space="preserve"> Rolleston: Selwyn District Council. </w:t>
      </w:r>
      <w:proofErr w:type="gramStart"/>
      <w:r w:rsidRPr="00130DC1">
        <w:rPr>
          <w:rFonts w:asciiTheme="minorHAnsi" w:hAnsiTheme="minorHAnsi" w:cs="Arial"/>
        </w:rPr>
        <w:t xml:space="preserve">Retrieved from </w:t>
      </w:r>
      <w:hyperlink r:id="rId48" w:history="1">
        <w:r w:rsidRPr="00A11373">
          <w:rPr>
            <w:rStyle w:val="Hyperlink"/>
            <w:rFonts w:asciiTheme="minorHAnsi" w:hAnsiTheme="minorHAnsi" w:cs="Arial"/>
            <w:u w:val="none"/>
          </w:rPr>
          <w:t>www.selwyn.govt.nz/__data/assets/pdf_file/0004/139594/02-RRS14-Web.pdf</w:t>
        </w:r>
      </w:hyperlink>
      <w:r w:rsidR="002F6635" w:rsidRPr="002F6635">
        <w:rPr>
          <w:rStyle w:val="Hyperlink"/>
          <w:rFonts w:asciiTheme="minorHAnsi" w:hAnsiTheme="minorHAnsi" w:cs="Arial"/>
          <w:color w:val="auto"/>
          <w:u w:val="none"/>
        </w:rPr>
        <w:t>.</w:t>
      </w:r>
      <w:proofErr w:type="gramEnd"/>
    </w:p>
    <w:p w:rsidR="009E0C89" w:rsidRPr="002F6635" w:rsidRDefault="009E0C89" w:rsidP="002F6635">
      <w:pPr>
        <w:pStyle w:val="FootnoteText"/>
        <w:spacing w:before="120" w:after="120" w:line="280" w:lineRule="atLeast"/>
        <w:ind w:left="0" w:firstLine="0"/>
        <w:rPr>
          <w:rStyle w:val="Hyperlink"/>
          <w:rFonts w:asciiTheme="minorHAnsi" w:hAnsiTheme="minorHAnsi" w:cs="Arial"/>
          <w:sz w:val="22"/>
          <w:szCs w:val="22"/>
          <w:lang w:val="en-NZ"/>
        </w:rPr>
      </w:pPr>
      <w:proofErr w:type="spellStart"/>
      <w:r w:rsidRPr="00130DC1">
        <w:rPr>
          <w:rFonts w:asciiTheme="minorHAnsi" w:hAnsiTheme="minorHAnsi" w:cs="Arial"/>
          <w:sz w:val="22"/>
          <w:szCs w:val="22"/>
        </w:rPr>
        <w:t>SmartGrowth</w:t>
      </w:r>
      <w:proofErr w:type="spellEnd"/>
      <w:r w:rsidRPr="00130DC1">
        <w:rPr>
          <w:rFonts w:asciiTheme="minorHAnsi" w:hAnsiTheme="minorHAnsi" w:cs="Arial"/>
          <w:sz w:val="22"/>
          <w:szCs w:val="22"/>
        </w:rPr>
        <w:t xml:space="preserve">. 2013. </w:t>
      </w:r>
      <w:proofErr w:type="spellStart"/>
      <w:r w:rsidRPr="00130DC1">
        <w:rPr>
          <w:rFonts w:asciiTheme="minorHAnsi" w:hAnsiTheme="minorHAnsi" w:cs="Arial"/>
          <w:i/>
          <w:sz w:val="22"/>
          <w:szCs w:val="22"/>
        </w:rPr>
        <w:t>SmartGrowth</w:t>
      </w:r>
      <w:proofErr w:type="spellEnd"/>
      <w:r w:rsidRPr="00130DC1">
        <w:rPr>
          <w:rFonts w:asciiTheme="minorHAnsi" w:hAnsiTheme="minorHAnsi" w:cs="Arial"/>
          <w:i/>
          <w:sz w:val="22"/>
          <w:szCs w:val="22"/>
        </w:rPr>
        <w:t xml:space="preserve"> Strategy 2013: Spatial plan for the Western Bay of Plenty</w:t>
      </w:r>
      <w:r w:rsidRPr="00130DC1">
        <w:rPr>
          <w:rFonts w:asciiTheme="minorHAnsi" w:hAnsiTheme="minorHAnsi" w:cs="Arial"/>
          <w:sz w:val="22"/>
          <w:szCs w:val="22"/>
        </w:rPr>
        <w:t xml:space="preserve">. Retrieved </w:t>
      </w:r>
      <w:r w:rsidRPr="00A11373">
        <w:rPr>
          <w:rFonts w:asciiTheme="minorHAnsi" w:hAnsiTheme="minorHAnsi" w:cs="Arial"/>
          <w:sz w:val="22"/>
          <w:szCs w:val="22"/>
        </w:rPr>
        <w:t xml:space="preserve">from </w:t>
      </w:r>
      <w:hyperlink r:id="rId49" w:history="1">
        <w:r w:rsidRPr="00A11373">
          <w:rPr>
            <w:rStyle w:val="Hyperlink"/>
            <w:rFonts w:asciiTheme="minorHAnsi" w:hAnsiTheme="minorHAnsi" w:cs="Arial"/>
            <w:sz w:val="22"/>
            <w:szCs w:val="22"/>
            <w:u w:val="none"/>
          </w:rPr>
          <w:t>www.smartgrowthbop.org.nz/2013-strategy.aspx</w:t>
        </w:r>
      </w:hyperlink>
      <w:r w:rsidR="002F6635" w:rsidRPr="002F6635">
        <w:rPr>
          <w:rStyle w:val="Hyperlink"/>
          <w:rFonts w:asciiTheme="minorHAnsi" w:hAnsiTheme="minorHAnsi" w:cs="Arial"/>
          <w:color w:val="auto"/>
          <w:sz w:val="22"/>
          <w:szCs w:val="22"/>
          <w:u w:val="none"/>
          <w:lang w:val="en-NZ"/>
        </w:rPr>
        <w:t>.</w:t>
      </w:r>
    </w:p>
    <w:p w:rsidR="009E0C89" w:rsidRPr="002F6635" w:rsidRDefault="009E0C89" w:rsidP="002F6635">
      <w:pPr>
        <w:pStyle w:val="FootnoteText"/>
        <w:spacing w:before="120" w:after="120" w:line="280" w:lineRule="atLeast"/>
        <w:ind w:left="0" w:firstLine="0"/>
        <w:rPr>
          <w:rStyle w:val="Hyperlink"/>
          <w:rFonts w:asciiTheme="minorHAnsi" w:hAnsiTheme="minorHAnsi" w:cs="Arial"/>
          <w:color w:val="auto"/>
          <w:sz w:val="22"/>
          <w:szCs w:val="22"/>
          <w:lang w:val="en-NZ"/>
        </w:rPr>
      </w:pPr>
      <w:proofErr w:type="spellStart"/>
      <w:r w:rsidRPr="00130DC1">
        <w:rPr>
          <w:rFonts w:asciiTheme="minorHAnsi" w:hAnsiTheme="minorHAnsi" w:cs="Arial"/>
          <w:sz w:val="22"/>
          <w:szCs w:val="22"/>
        </w:rPr>
        <w:t>SmartGrowth</w:t>
      </w:r>
      <w:proofErr w:type="spellEnd"/>
      <w:r w:rsidRPr="00130DC1">
        <w:rPr>
          <w:rFonts w:asciiTheme="minorHAnsi" w:hAnsiTheme="minorHAnsi" w:cs="Arial"/>
          <w:sz w:val="22"/>
          <w:szCs w:val="22"/>
        </w:rPr>
        <w:t>. 2013.</w:t>
      </w:r>
      <w:r w:rsidRPr="00130DC1">
        <w:rPr>
          <w:rFonts w:asciiTheme="minorHAnsi" w:hAnsiTheme="minorHAnsi" w:cs="Arial"/>
          <w:i/>
          <w:sz w:val="22"/>
          <w:szCs w:val="22"/>
        </w:rPr>
        <w:t xml:space="preserve"> </w:t>
      </w:r>
      <w:proofErr w:type="spellStart"/>
      <w:r w:rsidRPr="00130DC1">
        <w:rPr>
          <w:rFonts w:asciiTheme="minorHAnsi" w:hAnsiTheme="minorHAnsi" w:cs="Arial"/>
          <w:i/>
          <w:sz w:val="22"/>
          <w:szCs w:val="22"/>
        </w:rPr>
        <w:t>SmartGrowth</w:t>
      </w:r>
      <w:proofErr w:type="spellEnd"/>
      <w:r w:rsidRPr="00130DC1">
        <w:rPr>
          <w:rFonts w:asciiTheme="minorHAnsi" w:hAnsiTheme="minorHAnsi" w:cs="Arial"/>
          <w:i/>
          <w:sz w:val="22"/>
          <w:szCs w:val="22"/>
        </w:rPr>
        <w:t xml:space="preserve"> Strategy 2013: Part C: Settlement Pattern.</w:t>
      </w:r>
      <w:r w:rsidRPr="00130DC1">
        <w:rPr>
          <w:rFonts w:asciiTheme="minorHAnsi" w:hAnsiTheme="minorHAnsi" w:cs="Arial"/>
          <w:sz w:val="22"/>
          <w:szCs w:val="22"/>
        </w:rPr>
        <w:t xml:space="preserve"> Tauranga: </w:t>
      </w:r>
      <w:proofErr w:type="spellStart"/>
      <w:r w:rsidRPr="00130DC1">
        <w:rPr>
          <w:rFonts w:asciiTheme="minorHAnsi" w:hAnsiTheme="minorHAnsi" w:cs="Arial"/>
          <w:sz w:val="22"/>
          <w:szCs w:val="22"/>
        </w:rPr>
        <w:t>SmartGrowth</w:t>
      </w:r>
      <w:proofErr w:type="spellEnd"/>
      <w:r w:rsidRPr="00130DC1">
        <w:rPr>
          <w:rFonts w:asciiTheme="minorHAnsi" w:hAnsiTheme="minorHAnsi" w:cs="Arial"/>
          <w:sz w:val="22"/>
          <w:szCs w:val="22"/>
        </w:rPr>
        <w:t xml:space="preserve">. Retrieved </w:t>
      </w:r>
      <w:r w:rsidRPr="00A11373">
        <w:rPr>
          <w:rFonts w:asciiTheme="minorHAnsi" w:hAnsiTheme="minorHAnsi" w:cs="Arial"/>
          <w:sz w:val="22"/>
          <w:szCs w:val="22"/>
        </w:rPr>
        <w:t xml:space="preserve">from </w:t>
      </w:r>
      <w:hyperlink r:id="rId50" w:history="1">
        <w:r w:rsidRPr="00A11373">
          <w:rPr>
            <w:rStyle w:val="Hyperlink"/>
            <w:rFonts w:asciiTheme="minorHAnsi" w:hAnsiTheme="minorHAnsi" w:cs="Arial"/>
            <w:sz w:val="22"/>
            <w:szCs w:val="22"/>
            <w:u w:val="none"/>
          </w:rPr>
          <w:t>www.smartgrowthbop.org.nz/media/63774/3-smartgrowth_strategy_2013_30aug_88-125.pdf</w:t>
        </w:r>
      </w:hyperlink>
      <w:r w:rsidR="002F6635" w:rsidRPr="002F6635">
        <w:rPr>
          <w:rStyle w:val="Hyperlink"/>
          <w:rFonts w:asciiTheme="minorHAnsi" w:hAnsiTheme="minorHAnsi" w:cs="Arial"/>
          <w:color w:val="auto"/>
          <w:sz w:val="22"/>
          <w:szCs w:val="22"/>
          <w:u w:val="none"/>
          <w:lang w:val="en-NZ"/>
        </w:rPr>
        <w:t>.</w:t>
      </w:r>
    </w:p>
    <w:p w:rsidR="009E0C89" w:rsidRPr="00130DC1" w:rsidRDefault="009E0C89" w:rsidP="002F6635">
      <w:pPr>
        <w:pStyle w:val="FootnoteText"/>
        <w:spacing w:before="120" w:after="120" w:line="280" w:lineRule="atLeast"/>
        <w:ind w:left="0" w:firstLine="0"/>
        <w:rPr>
          <w:rFonts w:asciiTheme="minorHAnsi" w:hAnsiTheme="minorHAnsi" w:cs="Arial"/>
          <w:sz w:val="22"/>
          <w:szCs w:val="22"/>
        </w:rPr>
      </w:pPr>
      <w:r w:rsidRPr="00130DC1">
        <w:rPr>
          <w:rFonts w:asciiTheme="minorHAnsi" w:hAnsiTheme="minorHAnsi" w:cs="Arial"/>
          <w:sz w:val="22"/>
          <w:szCs w:val="22"/>
        </w:rPr>
        <w:t xml:space="preserve">Thompson A, </w:t>
      </w:r>
      <w:proofErr w:type="spellStart"/>
      <w:r w:rsidRPr="00130DC1">
        <w:rPr>
          <w:rFonts w:asciiTheme="minorHAnsi" w:hAnsiTheme="minorHAnsi" w:cs="Arial"/>
          <w:sz w:val="22"/>
          <w:szCs w:val="22"/>
        </w:rPr>
        <w:t>Trigg</w:t>
      </w:r>
      <w:proofErr w:type="spellEnd"/>
      <w:r w:rsidRPr="00130DC1">
        <w:rPr>
          <w:rFonts w:asciiTheme="minorHAnsi" w:hAnsiTheme="minorHAnsi" w:cs="Arial"/>
          <w:sz w:val="22"/>
          <w:szCs w:val="22"/>
        </w:rPr>
        <w:t xml:space="preserve"> A. 2015. </w:t>
      </w:r>
      <w:r w:rsidRPr="00130DC1">
        <w:rPr>
          <w:rFonts w:asciiTheme="minorHAnsi" w:hAnsiTheme="minorHAnsi" w:cs="Arial"/>
          <w:i/>
          <w:sz w:val="22"/>
          <w:szCs w:val="22"/>
        </w:rPr>
        <w:t>Urban Feasibility Models: Methodology and Applications</w:t>
      </w:r>
      <w:r w:rsidRPr="00130DC1">
        <w:rPr>
          <w:rFonts w:asciiTheme="minorHAnsi" w:hAnsiTheme="minorHAnsi" w:cs="Arial"/>
          <w:sz w:val="22"/>
          <w:szCs w:val="22"/>
        </w:rPr>
        <w:t xml:space="preserve">. Prepared for the Ministry of Business, Innovation and Employment by Urban Economics. Wellington: Ministry of Business, Innovation and Employment. Retrieved from </w:t>
      </w:r>
      <w:hyperlink r:id="rId51" w:history="1">
        <w:r w:rsidRPr="00A11373">
          <w:rPr>
            <w:rStyle w:val="Hyperlink"/>
            <w:rFonts w:asciiTheme="minorHAnsi" w:hAnsiTheme="minorHAnsi" w:cs="Arial"/>
            <w:sz w:val="22"/>
            <w:szCs w:val="22"/>
            <w:u w:val="none"/>
          </w:rPr>
          <w:t>https://hearings.aupihp.govt.nz/online-services/new/files/LCGAJFbTDyPdPddhRDm2nwSVZZqjVbkknN5ADqmNosLC</w:t>
        </w:r>
      </w:hyperlink>
      <w:r w:rsidR="002F6635" w:rsidRPr="002F6635">
        <w:rPr>
          <w:rStyle w:val="Hyperlink"/>
          <w:rFonts w:asciiTheme="minorHAnsi" w:hAnsiTheme="minorHAnsi" w:cs="Arial"/>
          <w:color w:val="auto"/>
          <w:sz w:val="22"/>
          <w:szCs w:val="22"/>
          <w:u w:val="none"/>
          <w:lang w:val="en-NZ"/>
        </w:rPr>
        <w:t>.</w:t>
      </w:r>
      <w:r w:rsidRPr="00130DC1">
        <w:rPr>
          <w:rFonts w:asciiTheme="minorHAnsi" w:hAnsiTheme="minorHAnsi" w:cs="Arial"/>
          <w:sz w:val="22"/>
          <w:szCs w:val="22"/>
        </w:rPr>
        <w:t xml:space="preserve"> </w:t>
      </w:r>
    </w:p>
    <w:p w:rsidR="009E0C89" w:rsidRPr="00130DC1" w:rsidRDefault="009E0C89" w:rsidP="002F6635">
      <w:pPr>
        <w:pStyle w:val="FootnoteText"/>
        <w:spacing w:before="120" w:after="120" w:line="280" w:lineRule="atLeast"/>
        <w:ind w:left="0" w:firstLine="0"/>
        <w:rPr>
          <w:rFonts w:asciiTheme="minorHAnsi" w:hAnsiTheme="minorHAnsi" w:cs="Arial"/>
          <w:sz w:val="22"/>
          <w:szCs w:val="22"/>
        </w:rPr>
      </w:pPr>
      <w:r w:rsidRPr="00130DC1">
        <w:rPr>
          <w:rFonts w:asciiTheme="minorHAnsi" w:hAnsiTheme="minorHAnsi" w:cs="Arial"/>
          <w:sz w:val="22"/>
          <w:szCs w:val="22"/>
        </w:rPr>
        <w:t>Tremaine K. 2010.</w:t>
      </w:r>
      <w:r w:rsidRPr="00130DC1">
        <w:rPr>
          <w:rFonts w:asciiTheme="minorHAnsi" w:hAnsiTheme="minorHAnsi" w:cs="Arial"/>
          <w:i/>
          <w:sz w:val="22"/>
          <w:szCs w:val="22"/>
        </w:rPr>
        <w:t xml:space="preserve"> Future Proof Business Land Reconciliation</w:t>
      </w:r>
      <w:r w:rsidRPr="00130DC1">
        <w:rPr>
          <w:rFonts w:asciiTheme="minorHAnsi" w:hAnsiTheme="minorHAnsi" w:cs="Arial"/>
          <w:sz w:val="22"/>
          <w:szCs w:val="22"/>
        </w:rPr>
        <w:t xml:space="preserve">. Hamilton: Future Proof, Retrieved from </w:t>
      </w:r>
      <w:hyperlink r:id="rId52" w:history="1">
        <w:r w:rsidRPr="00A11373">
          <w:rPr>
            <w:rStyle w:val="Hyperlink"/>
            <w:rFonts w:asciiTheme="minorHAnsi" w:hAnsiTheme="minorHAnsi" w:cs="Arial"/>
            <w:sz w:val="22"/>
            <w:szCs w:val="22"/>
            <w:u w:val="none"/>
          </w:rPr>
          <w:t>www.futureproof.org.nz/file/Business-Land-Review/future-proof-business-land-reconciliation-081210.pdf</w:t>
        </w:r>
      </w:hyperlink>
      <w:r w:rsidR="002F6635" w:rsidRPr="002F6635">
        <w:rPr>
          <w:rStyle w:val="Hyperlink"/>
          <w:rFonts w:asciiTheme="minorHAnsi" w:hAnsiTheme="minorHAnsi" w:cs="Arial"/>
          <w:color w:val="auto"/>
          <w:sz w:val="22"/>
          <w:szCs w:val="22"/>
          <w:u w:val="none"/>
          <w:lang w:val="en-NZ"/>
        </w:rPr>
        <w:t>.</w:t>
      </w:r>
      <w:r w:rsidRPr="00130DC1">
        <w:rPr>
          <w:rFonts w:asciiTheme="minorHAnsi" w:hAnsiTheme="minorHAnsi" w:cs="Arial"/>
          <w:sz w:val="22"/>
          <w:szCs w:val="22"/>
        </w:rPr>
        <w:t xml:space="preserve"> </w:t>
      </w:r>
    </w:p>
    <w:p w:rsidR="009E0C89" w:rsidRPr="002F6635" w:rsidRDefault="009E0C89" w:rsidP="002F6635">
      <w:pPr>
        <w:pStyle w:val="FootnoteText"/>
        <w:spacing w:before="120" w:after="120" w:line="280" w:lineRule="atLeast"/>
        <w:ind w:left="0" w:firstLine="0"/>
        <w:rPr>
          <w:rFonts w:asciiTheme="minorHAnsi" w:hAnsiTheme="minorHAnsi" w:cs="Arial"/>
          <w:sz w:val="22"/>
          <w:szCs w:val="22"/>
          <w:lang w:val="en-NZ"/>
        </w:rPr>
      </w:pPr>
      <w:r w:rsidRPr="00130DC1">
        <w:rPr>
          <w:rFonts w:asciiTheme="minorHAnsi" w:hAnsiTheme="minorHAnsi" w:cs="Arial"/>
          <w:sz w:val="22"/>
          <w:szCs w:val="22"/>
        </w:rPr>
        <w:t xml:space="preserve">Waikato Regional Council. 2015. </w:t>
      </w:r>
      <w:r w:rsidRPr="008835B1">
        <w:rPr>
          <w:rFonts w:asciiTheme="minorHAnsi" w:hAnsiTheme="minorHAnsi" w:cs="Arial"/>
          <w:sz w:val="22"/>
          <w:szCs w:val="22"/>
        </w:rPr>
        <w:t>Waikato Population Projections 2013 to 2063: Report to</w:t>
      </w:r>
      <w:r w:rsidRPr="00130DC1">
        <w:rPr>
          <w:rFonts w:asciiTheme="minorHAnsi" w:hAnsiTheme="minorHAnsi" w:cs="Arial"/>
          <w:i/>
          <w:sz w:val="22"/>
          <w:szCs w:val="22"/>
        </w:rPr>
        <w:t xml:space="preserve"> Strategy and Policy Committee.</w:t>
      </w:r>
      <w:r w:rsidRPr="00130DC1">
        <w:rPr>
          <w:rFonts w:asciiTheme="minorHAnsi" w:hAnsiTheme="minorHAnsi" w:cs="Arial"/>
          <w:sz w:val="22"/>
          <w:szCs w:val="22"/>
        </w:rPr>
        <w:t xml:space="preserve"> Hamilton: Waikato Regional Council. Retrieved from </w:t>
      </w:r>
      <w:hyperlink r:id="rId53" w:history="1">
        <w:r w:rsidRPr="00A11373">
          <w:rPr>
            <w:rStyle w:val="Hyperlink"/>
            <w:rFonts w:asciiTheme="minorHAnsi" w:hAnsiTheme="minorHAnsi" w:cs="Arial"/>
            <w:sz w:val="22"/>
            <w:szCs w:val="22"/>
            <w:u w:val="none"/>
          </w:rPr>
          <w:t>www.waikatoregion.govt.nz/PageFiles/39490/Waikato_Population_Projections_Report_to_Strategy_and_Policy_Committee.pdf</w:t>
        </w:r>
      </w:hyperlink>
      <w:r w:rsidR="002F6635" w:rsidRPr="002F6635">
        <w:rPr>
          <w:rStyle w:val="Hyperlink"/>
          <w:rFonts w:asciiTheme="minorHAnsi" w:hAnsiTheme="minorHAnsi" w:cs="Arial"/>
          <w:color w:val="auto"/>
          <w:sz w:val="22"/>
          <w:szCs w:val="22"/>
          <w:u w:val="none"/>
          <w:lang w:val="en-NZ"/>
        </w:rPr>
        <w:t>.</w:t>
      </w:r>
    </w:p>
    <w:p w:rsidR="009E0C89" w:rsidRPr="002F6635" w:rsidRDefault="009E0C89" w:rsidP="002F6635">
      <w:pPr>
        <w:pStyle w:val="FootnoteText"/>
        <w:spacing w:before="120" w:after="120" w:line="280" w:lineRule="atLeast"/>
        <w:ind w:left="0" w:firstLine="0"/>
        <w:rPr>
          <w:rStyle w:val="Hyperlink"/>
          <w:rFonts w:asciiTheme="minorHAnsi" w:hAnsiTheme="minorHAnsi" w:cs="Arial"/>
          <w:sz w:val="22"/>
          <w:szCs w:val="22"/>
          <w:u w:val="none"/>
          <w:lang w:val="en-NZ"/>
        </w:rPr>
      </w:pPr>
      <w:r w:rsidRPr="00130DC1">
        <w:rPr>
          <w:rFonts w:asciiTheme="minorHAnsi" w:hAnsiTheme="minorHAnsi" w:cs="Arial"/>
          <w:sz w:val="22"/>
          <w:szCs w:val="22"/>
        </w:rPr>
        <w:t xml:space="preserve">Waterfront Auckland. 2014. </w:t>
      </w:r>
      <w:r w:rsidRPr="00130DC1">
        <w:rPr>
          <w:rFonts w:asciiTheme="minorHAnsi" w:hAnsiTheme="minorHAnsi" w:cs="Arial"/>
          <w:i/>
          <w:sz w:val="22"/>
          <w:szCs w:val="22"/>
        </w:rPr>
        <w:t>Environmental Scan – July 2014</w:t>
      </w:r>
      <w:r w:rsidRPr="00130DC1">
        <w:rPr>
          <w:rFonts w:asciiTheme="minorHAnsi" w:hAnsiTheme="minorHAnsi" w:cs="Arial"/>
          <w:sz w:val="22"/>
          <w:szCs w:val="22"/>
        </w:rPr>
        <w:t xml:space="preserve">. Auckland: Waterfront Auckland. Retrieved from </w:t>
      </w:r>
      <w:hyperlink r:id="rId54" w:history="1">
        <w:r w:rsidRPr="00A11373">
          <w:rPr>
            <w:rStyle w:val="Hyperlink"/>
            <w:rFonts w:asciiTheme="minorHAnsi" w:hAnsiTheme="minorHAnsi" w:cs="Arial"/>
            <w:sz w:val="22"/>
            <w:szCs w:val="22"/>
            <w:u w:val="none"/>
          </w:rPr>
          <w:t>www.waterfrontauckland.co.nz/getmedia/01c99700-5262-46ed-82ed-bf575eea55ef/20140731-Environmental-Scan-July-2014.pdf/?ext=.pdf</w:t>
        </w:r>
      </w:hyperlink>
      <w:r w:rsidR="002F6635" w:rsidRPr="002F6635">
        <w:rPr>
          <w:rStyle w:val="Hyperlink"/>
          <w:rFonts w:asciiTheme="minorHAnsi" w:hAnsiTheme="minorHAnsi" w:cs="Arial"/>
          <w:color w:val="auto"/>
          <w:sz w:val="22"/>
          <w:szCs w:val="22"/>
          <w:u w:val="none"/>
          <w:lang w:val="en-NZ"/>
        </w:rPr>
        <w:t>.</w:t>
      </w:r>
    </w:p>
    <w:p w:rsidR="009E0C89" w:rsidRPr="002F6635" w:rsidRDefault="009E0C89" w:rsidP="002F6635">
      <w:pPr>
        <w:pStyle w:val="FootnoteText"/>
        <w:spacing w:before="120" w:after="120" w:line="280" w:lineRule="atLeast"/>
        <w:ind w:left="0" w:firstLine="0"/>
        <w:rPr>
          <w:rFonts w:asciiTheme="minorHAnsi" w:hAnsiTheme="minorHAnsi" w:cs="Arial"/>
          <w:sz w:val="22"/>
          <w:szCs w:val="22"/>
          <w:lang w:val="en-NZ"/>
        </w:rPr>
      </w:pPr>
      <w:r w:rsidRPr="00130DC1">
        <w:rPr>
          <w:rFonts w:asciiTheme="minorHAnsi" w:hAnsiTheme="minorHAnsi" w:cs="Arial"/>
          <w:sz w:val="22"/>
          <w:szCs w:val="22"/>
        </w:rPr>
        <w:t>Wellington City Council. 2003.</w:t>
      </w:r>
      <w:r w:rsidRPr="00130DC1">
        <w:rPr>
          <w:rFonts w:asciiTheme="minorHAnsi" w:hAnsiTheme="minorHAnsi" w:cs="Arial"/>
          <w:i/>
          <w:sz w:val="22"/>
          <w:szCs w:val="22"/>
        </w:rPr>
        <w:t xml:space="preserve"> Northern area: A framework for growth management</w:t>
      </w:r>
      <w:r w:rsidRPr="00130DC1">
        <w:rPr>
          <w:rFonts w:asciiTheme="minorHAnsi" w:hAnsiTheme="minorHAnsi" w:cs="Arial"/>
          <w:sz w:val="22"/>
          <w:szCs w:val="22"/>
        </w:rPr>
        <w:t xml:space="preserve">. Wellington: Wellington City Council. Retrieved from </w:t>
      </w:r>
      <w:hyperlink r:id="rId55" w:history="1">
        <w:r w:rsidRPr="00A11373">
          <w:rPr>
            <w:rStyle w:val="Hyperlink"/>
            <w:rFonts w:asciiTheme="minorHAnsi" w:hAnsiTheme="minorHAnsi" w:cs="Arial"/>
            <w:sz w:val="22"/>
            <w:szCs w:val="22"/>
            <w:u w:val="none"/>
          </w:rPr>
          <w:t>http://wellington.govt.nz/~/media/your-council/plans-policies-and-bylaws/plans-and-policies/a-to-z/northerngrowth/files/northerngrowth.pdf</w:t>
        </w:r>
      </w:hyperlink>
      <w:r w:rsidR="002F6635" w:rsidRPr="002F6635">
        <w:rPr>
          <w:rStyle w:val="Hyperlink"/>
          <w:rFonts w:asciiTheme="minorHAnsi" w:hAnsiTheme="minorHAnsi" w:cs="Arial"/>
          <w:color w:val="auto"/>
          <w:sz w:val="22"/>
          <w:szCs w:val="22"/>
          <w:u w:val="none"/>
          <w:lang w:val="en-NZ"/>
        </w:rPr>
        <w:t>.</w:t>
      </w:r>
    </w:p>
    <w:p w:rsidR="009E0C89" w:rsidRPr="002F6635" w:rsidRDefault="009E0C89" w:rsidP="002F6635">
      <w:pPr>
        <w:pStyle w:val="FootnoteText"/>
        <w:spacing w:before="120" w:after="120" w:line="280" w:lineRule="atLeast"/>
        <w:ind w:left="0" w:firstLine="0"/>
        <w:rPr>
          <w:rFonts w:asciiTheme="minorHAnsi" w:hAnsiTheme="minorHAnsi" w:cs="Arial"/>
          <w:sz w:val="22"/>
          <w:szCs w:val="22"/>
          <w:lang w:val="en-NZ"/>
        </w:rPr>
      </w:pPr>
      <w:r w:rsidRPr="00130DC1">
        <w:rPr>
          <w:rFonts w:asciiTheme="minorHAnsi" w:hAnsiTheme="minorHAnsi" w:cs="Arial"/>
          <w:sz w:val="22"/>
          <w:szCs w:val="22"/>
        </w:rPr>
        <w:t>Wellington City Council. 2006.</w:t>
      </w:r>
      <w:r w:rsidRPr="00130DC1">
        <w:rPr>
          <w:rFonts w:asciiTheme="minorHAnsi" w:hAnsiTheme="minorHAnsi" w:cs="Arial"/>
          <w:i/>
          <w:sz w:val="22"/>
          <w:szCs w:val="22"/>
        </w:rPr>
        <w:t xml:space="preserve"> Quantifying the growth spine: Supply, demand and capacity for residential development in Wellington City (Wellington Urban Development Strategy, Working Paper 9)</w:t>
      </w:r>
      <w:r w:rsidRPr="00130DC1">
        <w:rPr>
          <w:rFonts w:asciiTheme="minorHAnsi" w:hAnsiTheme="minorHAnsi" w:cs="Arial"/>
          <w:sz w:val="22"/>
          <w:szCs w:val="22"/>
        </w:rPr>
        <w:t xml:space="preserve">. Wellington: Wellington City Council. Retrieved from </w:t>
      </w:r>
      <w:hyperlink r:id="rId56" w:history="1">
        <w:r w:rsidRPr="00A11373">
          <w:rPr>
            <w:rStyle w:val="Hyperlink"/>
            <w:rFonts w:asciiTheme="minorHAnsi" w:hAnsiTheme="minorHAnsi" w:cs="Arial"/>
            <w:sz w:val="22"/>
            <w:szCs w:val="22"/>
            <w:u w:val="none"/>
          </w:rPr>
          <w:t>http://wellington.govt.nz/~/media/your-council/projects/files/infill-growthspine.pdf</w:t>
        </w:r>
      </w:hyperlink>
      <w:r w:rsidR="002F6635" w:rsidRPr="002F6635">
        <w:rPr>
          <w:rStyle w:val="Hyperlink"/>
          <w:rFonts w:asciiTheme="minorHAnsi" w:hAnsiTheme="minorHAnsi" w:cs="Arial"/>
          <w:color w:val="auto"/>
          <w:sz w:val="22"/>
          <w:szCs w:val="22"/>
          <w:u w:val="none"/>
          <w:lang w:val="en-NZ"/>
        </w:rPr>
        <w:t>.</w:t>
      </w:r>
    </w:p>
    <w:p w:rsidR="009E0C89" w:rsidRPr="00A11373" w:rsidRDefault="009E0C89" w:rsidP="008835B1">
      <w:pPr>
        <w:jc w:val="left"/>
        <w:rPr>
          <w:rStyle w:val="Hyperlink"/>
          <w:rFonts w:asciiTheme="minorHAnsi" w:hAnsiTheme="minorHAnsi" w:cs="Arial"/>
          <w:u w:val="none"/>
        </w:rPr>
      </w:pPr>
      <w:proofErr w:type="gramStart"/>
      <w:r w:rsidRPr="00130DC1">
        <w:rPr>
          <w:rFonts w:asciiTheme="minorHAnsi" w:hAnsiTheme="minorHAnsi" w:cs="Arial"/>
        </w:rPr>
        <w:t>Wellington City Council.</w:t>
      </w:r>
      <w:proofErr w:type="gramEnd"/>
      <w:r w:rsidRPr="00130DC1">
        <w:rPr>
          <w:rFonts w:asciiTheme="minorHAnsi" w:hAnsiTheme="minorHAnsi" w:cs="Arial"/>
        </w:rPr>
        <w:t xml:space="preserve"> 2010. </w:t>
      </w:r>
      <w:r w:rsidRPr="00130DC1">
        <w:rPr>
          <w:rFonts w:asciiTheme="minorHAnsi" w:hAnsiTheme="minorHAnsi" w:cs="Arial"/>
          <w:i/>
        </w:rPr>
        <w:t>Proposed District Plan Change 73 – Suburban Centres Review: Business Areas.</w:t>
      </w:r>
      <w:r w:rsidRPr="00130DC1">
        <w:rPr>
          <w:rFonts w:asciiTheme="minorHAnsi" w:hAnsiTheme="minorHAnsi" w:cs="Arial"/>
        </w:rPr>
        <w:t xml:space="preserve"> Wellington: Wellington City Council. </w:t>
      </w:r>
      <w:proofErr w:type="gramStart"/>
      <w:r w:rsidRPr="00130DC1">
        <w:rPr>
          <w:rFonts w:asciiTheme="minorHAnsi" w:hAnsiTheme="minorHAnsi" w:cs="Arial"/>
        </w:rPr>
        <w:t xml:space="preserve">Retrieved from </w:t>
      </w:r>
      <w:hyperlink r:id="rId57" w:history="1">
        <w:r w:rsidRPr="00A11373">
          <w:rPr>
            <w:rStyle w:val="Hyperlink"/>
            <w:rFonts w:asciiTheme="minorHAnsi" w:hAnsiTheme="minorHAnsi" w:cs="Arial"/>
            <w:u w:val="none"/>
          </w:rPr>
          <w:t>http://wellington.govt.nz/~/media/your-council/plans-policies-and-bylaws/district-plan/changes/active-changes-variations/files/change73-orv1chap33busobj.pdf</w:t>
        </w:r>
      </w:hyperlink>
      <w:r w:rsidR="002F6635">
        <w:rPr>
          <w:rStyle w:val="Hyperlink"/>
          <w:rFonts w:asciiTheme="minorHAnsi" w:hAnsiTheme="minorHAnsi" w:cs="Arial"/>
          <w:u w:val="none"/>
        </w:rPr>
        <w:t>.</w:t>
      </w:r>
      <w:proofErr w:type="gramEnd"/>
    </w:p>
    <w:p w:rsidR="009E0C89" w:rsidRPr="002F6635" w:rsidRDefault="009E0C89" w:rsidP="002F6635">
      <w:pPr>
        <w:pStyle w:val="FootnoteText"/>
        <w:keepNext/>
        <w:keepLines/>
        <w:spacing w:before="120" w:after="120" w:line="280" w:lineRule="atLeast"/>
        <w:ind w:left="0" w:firstLine="0"/>
        <w:rPr>
          <w:rFonts w:asciiTheme="minorHAnsi" w:hAnsiTheme="minorHAnsi" w:cs="Arial"/>
          <w:sz w:val="22"/>
          <w:szCs w:val="22"/>
          <w:lang w:val="en-NZ"/>
        </w:rPr>
      </w:pPr>
      <w:r w:rsidRPr="00130DC1">
        <w:rPr>
          <w:rFonts w:asciiTheme="minorHAnsi" w:hAnsiTheme="minorHAnsi" w:cs="Arial"/>
          <w:sz w:val="22"/>
          <w:szCs w:val="22"/>
        </w:rPr>
        <w:t xml:space="preserve">Wellington City Council. 2013. </w:t>
      </w:r>
      <w:r w:rsidRPr="00130DC1">
        <w:rPr>
          <w:rFonts w:asciiTheme="minorHAnsi" w:hAnsiTheme="minorHAnsi" w:cs="Arial"/>
          <w:i/>
          <w:sz w:val="22"/>
          <w:szCs w:val="22"/>
        </w:rPr>
        <w:t>Shaping up 2013: District Plan Monitoring and Research Report</w:t>
      </w:r>
      <w:r w:rsidRPr="00130DC1">
        <w:rPr>
          <w:rFonts w:asciiTheme="minorHAnsi" w:hAnsiTheme="minorHAnsi" w:cs="Arial"/>
          <w:sz w:val="22"/>
          <w:szCs w:val="22"/>
        </w:rPr>
        <w:t xml:space="preserve">. Wellington: Wellington City Council. Retrieved from </w:t>
      </w:r>
      <w:hyperlink r:id="rId58" w:history="1">
        <w:r w:rsidRPr="00A11373">
          <w:rPr>
            <w:rStyle w:val="Hyperlink"/>
            <w:rFonts w:asciiTheme="minorHAnsi" w:hAnsiTheme="minorHAnsi" w:cs="Arial"/>
            <w:sz w:val="22"/>
            <w:szCs w:val="22"/>
            <w:u w:val="none"/>
          </w:rPr>
          <w:t>http://wellington.govt.nz/~/media/your-council/plans-policies-and-bylaws/district-plan/effectiveness-and-review/shapingup2013.pdf</w:t>
        </w:r>
      </w:hyperlink>
      <w:r w:rsidR="002F6635" w:rsidRPr="002F6635">
        <w:rPr>
          <w:rStyle w:val="Hyperlink"/>
          <w:rFonts w:asciiTheme="minorHAnsi" w:hAnsiTheme="minorHAnsi" w:cs="Arial"/>
          <w:color w:val="auto"/>
          <w:sz w:val="22"/>
          <w:szCs w:val="22"/>
          <w:u w:val="none"/>
          <w:lang w:val="en-NZ"/>
        </w:rPr>
        <w:t>.</w:t>
      </w:r>
    </w:p>
    <w:p w:rsidR="009E0C89" w:rsidRPr="002F6635" w:rsidRDefault="009E0C89" w:rsidP="002F6635">
      <w:pPr>
        <w:pStyle w:val="FootnoteText"/>
        <w:spacing w:before="120" w:after="120" w:line="280" w:lineRule="atLeast"/>
        <w:ind w:left="0" w:firstLine="0"/>
        <w:rPr>
          <w:rStyle w:val="Hyperlink"/>
          <w:rFonts w:asciiTheme="minorHAnsi" w:eastAsiaTheme="minorHAnsi" w:hAnsiTheme="minorHAnsi" w:cs="Arial"/>
          <w:sz w:val="22"/>
          <w:szCs w:val="22"/>
          <w:u w:val="none"/>
          <w:lang w:val="en-NZ"/>
        </w:rPr>
      </w:pPr>
      <w:r w:rsidRPr="00130DC1">
        <w:rPr>
          <w:rFonts w:asciiTheme="minorHAnsi" w:hAnsiTheme="minorHAnsi" w:cs="Arial"/>
          <w:sz w:val="22"/>
          <w:szCs w:val="22"/>
        </w:rPr>
        <w:t xml:space="preserve">Wellington City Council. 2015. </w:t>
      </w:r>
      <w:r w:rsidRPr="00130DC1">
        <w:rPr>
          <w:rFonts w:asciiTheme="minorHAnsi" w:hAnsiTheme="minorHAnsi" w:cs="Arial"/>
          <w:i/>
          <w:sz w:val="22"/>
          <w:szCs w:val="22"/>
        </w:rPr>
        <w:t>Wellington Urban Growth Plan: Urban Development and Transport Strategy, 2014–2043</w:t>
      </w:r>
      <w:r w:rsidRPr="00130DC1">
        <w:rPr>
          <w:rFonts w:asciiTheme="minorHAnsi" w:hAnsiTheme="minorHAnsi" w:cs="Arial"/>
          <w:sz w:val="22"/>
          <w:szCs w:val="22"/>
        </w:rPr>
        <w:t xml:space="preserve">. Wellington: Wellington City Council. Retrieved from </w:t>
      </w:r>
      <w:hyperlink r:id="rId59" w:history="1">
        <w:r w:rsidRPr="00A11373">
          <w:rPr>
            <w:rStyle w:val="Hyperlink"/>
            <w:rFonts w:asciiTheme="minorHAnsi" w:hAnsiTheme="minorHAnsi" w:cs="Arial"/>
            <w:sz w:val="22"/>
            <w:szCs w:val="22"/>
            <w:u w:val="none"/>
          </w:rPr>
          <w:t>http://wellington.govt.nz/~/media/your-council/plans-policies-and-bylaws/plans-and-policies/a-to-z/wgtn-urban-growth/wgtn-urban-growth-plan2015.pdf</w:t>
        </w:r>
      </w:hyperlink>
      <w:r w:rsidR="002F6635" w:rsidRPr="002F6635">
        <w:rPr>
          <w:rStyle w:val="Hyperlink"/>
          <w:rFonts w:asciiTheme="minorHAnsi" w:hAnsiTheme="minorHAnsi" w:cs="Arial"/>
          <w:color w:val="auto"/>
          <w:sz w:val="22"/>
          <w:szCs w:val="22"/>
          <w:u w:val="none"/>
          <w:lang w:val="en-NZ"/>
        </w:rPr>
        <w:t>.</w:t>
      </w:r>
    </w:p>
    <w:p w:rsidR="009E0C89" w:rsidRPr="00130DC1" w:rsidRDefault="009E0C89" w:rsidP="008835B1">
      <w:pPr>
        <w:jc w:val="left"/>
        <w:rPr>
          <w:rFonts w:asciiTheme="minorHAnsi" w:hAnsiTheme="minorHAnsi" w:cs="Arial"/>
        </w:rPr>
      </w:pPr>
      <w:r w:rsidRPr="008835B1">
        <w:rPr>
          <w:rFonts w:asciiTheme="minorHAnsi" w:eastAsia="Times New Roman" w:hAnsiTheme="minorHAnsi" w:cs="Arial"/>
          <w:lang w:val="x-none" w:eastAsia="en-US"/>
        </w:rPr>
        <w:t xml:space="preserve">Yeoman R, Huang T, </w:t>
      </w:r>
      <w:proofErr w:type="spellStart"/>
      <w:r w:rsidRPr="008835B1">
        <w:rPr>
          <w:rFonts w:asciiTheme="minorHAnsi" w:eastAsia="Times New Roman" w:hAnsiTheme="minorHAnsi" w:cs="Arial"/>
          <w:lang w:val="x-none" w:eastAsia="en-US"/>
        </w:rPr>
        <w:t>Akehurst</w:t>
      </w:r>
      <w:proofErr w:type="spellEnd"/>
      <w:r w:rsidRPr="008835B1">
        <w:rPr>
          <w:rFonts w:asciiTheme="minorHAnsi" w:eastAsia="Times New Roman" w:hAnsiTheme="minorHAnsi" w:cs="Arial"/>
          <w:lang w:val="x-none" w:eastAsia="en-US"/>
        </w:rPr>
        <w:t xml:space="preserve"> G. Unpublished PAUP Business Land: Land Demand by Activity</w:t>
      </w:r>
      <w:r w:rsidRPr="00130DC1">
        <w:rPr>
          <w:rFonts w:asciiTheme="minorHAnsi" w:hAnsiTheme="minorHAnsi" w:cs="Arial"/>
          <w:i/>
        </w:rPr>
        <w:t xml:space="preserve"> and PAUP Supply</w:t>
      </w:r>
      <w:r w:rsidRPr="00130DC1">
        <w:rPr>
          <w:rFonts w:asciiTheme="minorHAnsi" w:hAnsiTheme="minorHAnsi" w:cs="Arial"/>
        </w:rPr>
        <w:t xml:space="preserve">. </w:t>
      </w:r>
      <w:proofErr w:type="gramStart"/>
      <w:r w:rsidRPr="00130DC1">
        <w:rPr>
          <w:rFonts w:asciiTheme="minorHAnsi" w:hAnsiTheme="minorHAnsi" w:cs="Arial"/>
        </w:rPr>
        <w:t xml:space="preserve">Report for the Independent Hearing Panel by </w:t>
      </w:r>
      <w:proofErr w:type="spellStart"/>
      <w:r w:rsidRPr="00130DC1">
        <w:rPr>
          <w:rFonts w:asciiTheme="minorHAnsi" w:hAnsiTheme="minorHAnsi" w:cs="Arial"/>
        </w:rPr>
        <w:t>m.e</w:t>
      </w:r>
      <w:proofErr w:type="spellEnd"/>
      <w:r w:rsidRPr="00130DC1">
        <w:rPr>
          <w:rFonts w:asciiTheme="minorHAnsi" w:hAnsiTheme="minorHAnsi" w:cs="Arial"/>
        </w:rPr>
        <w:t xml:space="preserve"> spatial and Auck</w:t>
      </w:r>
      <w:r w:rsidRPr="00A11373">
        <w:rPr>
          <w:rFonts w:asciiTheme="minorHAnsi" w:hAnsiTheme="minorHAnsi" w:cs="Arial"/>
        </w:rPr>
        <w:t>land Council.</w:t>
      </w:r>
      <w:proofErr w:type="gramEnd"/>
      <w:r w:rsidRPr="00A11373">
        <w:rPr>
          <w:rFonts w:asciiTheme="minorHAnsi" w:hAnsiTheme="minorHAnsi" w:cs="Arial"/>
        </w:rPr>
        <w:t xml:space="preserve"> </w:t>
      </w:r>
      <w:proofErr w:type="gramStart"/>
      <w:r w:rsidRPr="00A11373">
        <w:rPr>
          <w:rFonts w:asciiTheme="minorHAnsi" w:hAnsiTheme="minorHAnsi" w:cs="Arial"/>
        </w:rPr>
        <w:t xml:space="preserve">Retrieved from </w:t>
      </w:r>
      <w:hyperlink r:id="rId60" w:tgtFrame="_blank" w:history="1">
        <w:r w:rsidRPr="00A11373">
          <w:rPr>
            <w:rStyle w:val="Hyperlink"/>
            <w:rFonts w:asciiTheme="minorHAnsi" w:eastAsia="SimSun" w:hAnsiTheme="minorHAnsi" w:cs="Arial"/>
            <w:u w:val="none"/>
            <w:lang w:eastAsia="zh-CN"/>
          </w:rPr>
          <w:t>https://hearings.aupihp.govt.nz/online-services/new/files/UA360wWBWgN8okbKeRcnrsPqpfGvVw1NSw7bIAoUA360</w:t>
        </w:r>
      </w:hyperlink>
      <w:r w:rsidR="002F6635" w:rsidRPr="002F6635">
        <w:rPr>
          <w:rStyle w:val="Hyperlink"/>
          <w:rFonts w:asciiTheme="minorHAnsi" w:eastAsia="SimSun" w:hAnsiTheme="minorHAnsi" w:cs="Arial"/>
          <w:color w:val="auto"/>
          <w:u w:val="none"/>
          <w:lang w:eastAsia="zh-CN"/>
        </w:rPr>
        <w:t>.</w:t>
      </w:r>
      <w:proofErr w:type="gramEnd"/>
      <w:r w:rsidRPr="00130DC1">
        <w:rPr>
          <w:rFonts w:asciiTheme="minorHAnsi" w:hAnsiTheme="minorHAnsi"/>
        </w:rPr>
        <w:t xml:space="preserve"> </w:t>
      </w:r>
    </w:p>
    <w:p w:rsidR="009E0C89" w:rsidRPr="008835B1" w:rsidRDefault="009E0C89" w:rsidP="008835B1">
      <w:pPr>
        <w:pStyle w:val="FootnoteText"/>
        <w:rPr>
          <w:rFonts w:asciiTheme="minorHAnsi" w:hAnsiTheme="minorHAnsi" w:cs="Arial"/>
          <w:sz w:val="22"/>
          <w:szCs w:val="22"/>
        </w:rPr>
      </w:pPr>
    </w:p>
    <w:sectPr w:rsidR="009E0C89" w:rsidRPr="008835B1" w:rsidSect="001B431E">
      <w:headerReference w:type="even" r:id="rId61"/>
      <w:headerReference w:type="default" r:id="rId62"/>
      <w:footerReference w:type="even" r:id="rId63"/>
      <w:footerReference w:type="default" r:id="rId64"/>
      <w:endnotePr>
        <w:numFmt w:val="decimal"/>
      </w:endnotePr>
      <w:pgSz w:w="11907" w:h="16840" w:code="9"/>
      <w:pgMar w:top="568" w:right="1418" w:bottom="1134" w:left="1418" w:header="567" w:footer="567"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AD" w:rsidRDefault="006376AD" w:rsidP="009B0142">
      <w:pPr>
        <w:spacing w:after="0" w:line="240" w:lineRule="auto"/>
      </w:pPr>
      <w:r>
        <w:separator/>
      </w:r>
    </w:p>
  </w:endnote>
  <w:endnote w:type="continuationSeparator" w:id="0">
    <w:p w:rsidR="006376AD" w:rsidRPr="00775A35" w:rsidRDefault="006376AD" w:rsidP="009B0142">
      <w:pPr>
        <w:spacing w:after="0" w:line="240" w:lineRule="auto"/>
        <w:rPr>
          <w:color w:val="FFFFFF" w:themeColor="background1"/>
        </w:rPr>
      </w:pPr>
      <w:r w:rsidRPr="00775A35">
        <w:rPr>
          <w:color w:val="FFFFFF" w:themeColor="background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ourier New"/>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tserrat Light">
    <w:altName w:val="Courier New"/>
    <w:panose1 w:val="00000000000000000000"/>
    <w:charset w:val="00"/>
    <w:family w:val="modern"/>
    <w:notTrueType/>
    <w:pitch w:val="variable"/>
    <w:sig w:usb0="00000001"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radeGothic">
    <w:altName w:val="Vrinda"/>
    <w:panose1 w:val="00000000000000000000"/>
    <w:charset w:val="00"/>
    <w:family w:val="swiss"/>
    <w:notTrueType/>
    <w:pitch w:val="variable"/>
    <w:sig w:usb0="00000003" w:usb1="40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Eurostile">
    <w:altName w:val="Segoe Script"/>
    <w:charset w:val="00"/>
    <w:family w:val="auto"/>
    <w:pitch w:val="variable"/>
    <w:sig w:usb0="00000003" w:usb1="00000000" w:usb2="00000000" w:usb3="00000000" w:csb0="00000001" w:csb1="00000000"/>
  </w:font>
  <w:font w:name="Eurostile ExtendedTwo">
    <w:altName w:val="Segoe Script"/>
    <w:charset w:val="00"/>
    <w:family w:val="swiss"/>
    <w:pitch w:val="variable"/>
    <w:sig w:usb0="00000001" w:usb1="00000000" w:usb2="00000000" w:usb3="00000000" w:csb0="00000093" w:csb1="00000000"/>
  </w:font>
  <w:font w:name="Eurostile-ExtendedTw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AD" w:rsidRDefault="006376AD" w:rsidP="00A9473E">
    <w:pPr>
      <w:pStyle w:val="Footereven"/>
    </w:pPr>
    <w:r>
      <w:fldChar w:fldCharType="begin"/>
    </w:r>
    <w:r>
      <w:instrText xml:space="preserve"> PAGE   \* MERGEFORMAT </w:instrText>
    </w:r>
    <w:r>
      <w:fldChar w:fldCharType="separate"/>
    </w:r>
    <w:r>
      <w:rPr>
        <w:noProof/>
      </w:rPr>
      <w:t>2</w:t>
    </w:r>
    <w:r>
      <w:rPr>
        <w:noProof/>
      </w:rPr>
      <w:fldChar w:fldCharType="end"/>
    </w:r>
    <w:r>
      <w:rPr>
        <w:noProof/>
      </w:rPr>
      <w:tab/>
    </w:r>
    <w:r w:rsidRPr="00A9473E">
      <w:t>Improving our resource management system: A discussion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AD" w:rsidRDefault="006376AD" w:rsidP="00A9473E">
    <w:pPr>
      <w:pStyle w:val="Footerodd"/>
    </w:pPr>
    <w:r>
      <w:tab/>
    </w:r>
    <w:r w:rsidRPr="00A9473E">
      <w:t>Improving our resource management system: A discussion document</w:t>
    </w:r>
    <w:r>
      <w:tab/>
    </w:r>
    <w:r>
      <w:fldChar w:fldCharType="begin"/>
    </w:r>
    <w:r>
      <w:instrText xml:space="preserve"> PAGE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AD" w:rsidRPr="003211A3" w:rsidRDefault="006376AD" w:rsidP="003211A3">
    <w:pPr>
      <w:pStyle w:val="Footer"/>
      <w:tabs>
        <w:tab w:val="clear" w:pos="4513"/>
        <w:tab w:val="clear" w:pos="9026"/>
      </w:tabs>
      <w:ind w:left="-57"/>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AD" w:rsidRPr="0040640A" w:rsidRDefault="006376AD" w:rsidP="004064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AD" w:rsidRPr="00F866C3" w:rsidRDefault="006376AD" w:rsidP="0040640A">
    <w:pPr>
      <w:pStyle w:val="Footereven"/>
      <w:rPr>
        <w:szCs w:val="18"/>
      </w:rPr>
    </w:pPr>
    <w:r w:rsidRPr="00291424">
      <w:rPr>
        <w:rStyle w:val="PageNumber"/>
        <w:rFonts w:ascii="Calibri" w:hAnsi="Calibri"/>
        <w:b w:val="0"/>
        <w:sz w:val="18"/>
        <w:szCs w:val="18"/>
      </w:rPr>
      <w:fldChar w:fldCharType="begin"/>
    </w:r>
    <w:r w:rsidRPr="00291424">
      <w:rPr>
        <w:rStyle w:val="PageNumber"/>
        <w:rFonts w:ascii="Calibri" w:hAnsi="Calibri"/>
        <w:b w:val="0"/>
        <w:sz w:val="18"/>
        <w:szCs w:val="18"/>
      </w:rPr>
      <w:instrText xml:space="preserve"> PAGE </w:instrText>
    </w:r>
    <w:r w:rsidRPr="00291424">
      <w:rPr>
        <w:rStyle w:val="PageNumber"/>
        <w:rFonts w:ascii="Calibri" w:hAnsi="Calibri"/>
        <w:b w:val="0"/>
        <w:sz w:val="18"/>
        <w:szCs w:val="18"/>
      </w:rPr>
      <w:fldChar w:fldCharType="separate"/>
    </w:r>
    <w:r w:rsidR="000D2101">
      <w:rPr>
        <w:rStyle w:val="PageNumber"/>
        <w:rFonts w:ascii="Calibri" w:hAnsi="Calibri"/>
        <w:b w:val="0"/>
        <w:noProof/>
        <w:sz w:val="18"/>
        <w:szCs w:val="18"/>
      </w:rPr>
      <w:t>4</w:t>
    </w:r>
    <w:r w:rsidRPr="00291424">
      <w:rPr>
        <w:rStyle w:val="PageNumber"/>
        <w:rFonts w:ascii="Calibri" w:hAnsi="Calibri"/>
        <w:b w:val="0"/>
        <w:sz w:val="18"/>
        <w:szCs w:val="18"/>
      </w:rPr>
      <w:fldChar w:fldCharType="end"/>
    </w:r>
    <w:r w:rsidRPr="00F866C3">
      <w:rPr>
        <w:szCs w:val="18"/>
      </w:rPr>
      <w:tab/>
    </w:r>
    <w:r>
      <w:rPr>
        <w:szCs w:val="18"/>
      </w:rPr>
      <w:t>How councils estimate demand and supply of development capacity for housing and business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AD" w:rsidRPr="00F866C3" w:rsidRDefault="006376AD" w:rsidP="0040640A">
    <w:pPr>
      <w:pStyle w:val="Footerodd"/>
      <w:rPr>
        <w:szCs w:val="18"/>
      </w:rPr>
    </w:pPr>
    <w:r w:rsidRPr="00F866C3">
      <w:rPr>
        <w:szCs w:val="18"/>
      </w:rPr>
      <w:tab/>
    </w:r>
    <w:r>
      <w:rPr>
        <w:szCs w:val="18"/>
      </w:rPr>
      <w:t>How councils estimate demand and supply of development capacity for housing and business</w:t>
    </w:r>
    <w:r w:rsidRPr="00F866C3">
      <w:rPr>
        <w:szCs w:val="18"/>
      </w:rPr>
      <w:tab/>
    </w:r>
    <w:r w:rsidRPr="00291424">
      <w:rPr>
        <w:rStyle w:val="PageNumber"/>
        <w:rFonts w:ascii="Calibri" w:hAnsi="Calibri"/>
        <w:b w:val="0"/>
        <w:sz w:val="18"/>
        <w:szCs w:val="18"/>
      </w:rPr>
      <w:fldChar w:fldCharType="begin"/>
    </w:r>
    <w:r w:rsidRPr="00291424">
      <w:rPr>
        <w:rStyle w:val="PageNumber"/>
        <w:rFonts w:ascii="Calibri" w:hAnsi="Calibri"/>
        <w:b w:val="0"/>
        <w:sz w:val="18"/>
        <w:szCs w:val="18"/>
      </w:rPr>
      <w:instrText xml:space="preserve"> PAGE </w:instrText>
    </w:r>
    <w:r w:rsidRPr="00291424">
      <w:rPr>
        <w:rStyle w:val="PageNumber"/>
        <w:rFonts w:ascii="Calibri" w:hAnsi="Calibri"/>
        <w:b w:val="0"/>
        <w:sz w:val="18"/>
        <w:szCs w:val="18"/>
      </w:rPr>
      <w:fldChar w:fldCharType="separate"/>
    </w:r>
    <w:r w:rsidR="000D2101">
      <w:rPr>
        <w:rStyle w:val="PageNumber"/>
        <w:rFonts w:ascii="Calibri" w:hAnsi="Calibri"/>
        <w:b w:val="0"/>
        <w:noProof/>
        <w:sz w:val="18"/>
        <w:szCs w:val="18"/>
      </w:rPr>
      <w:t>3</w:t>
    </w:r>
    <w:r w:rsidRPr="00291424">
      <w:rPr>
        <w:rStyle w:val="PageNumber"/>
        <w:rFonts w:ascii="Calibri" w:hAnsi="Calibri"/>
        <w:b w:val="0"/>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AD" w:rsidRPr="00F17FBD" w:rsidRDefault="006376AD" w:rsidP="00CB44C4">
    <w:pPr>
      <w:pStyle w:val="Footereven"/>
      <w:rPr>
        <w:b/>
      </w:rPr>
    </w:pPr>
    <w:r w:rsidRPr="00CB44C4">
      <w:rPr>
        <w:rStyle w:val="PageNumber"/>
        <w:rFonts w:ascii="Calibri" w:hAnsi="Calibri"/>
        <w:b w:val="0"/>
        <w:bCs w:val="0"/>
        <w:sz w:val="18"/>
        <w:szCs w:val="16"/>
      </w:rPr>
      <w:fldChar w:fldCharType="begin"/>
    </w:r>
    <w:r w:rsidRPr="00CB44C4">
      <w:rPr>
        <w:rStyle w:val="PageNumber"/>
        <w:rFonts w:ascii="Calibri" w:hAnsi="Calibri"/>
        <w:b w:val="0"/>
        <w:bCs w:val="0"/>
        <w:sz w:val="18"/>
        <w:szCs w:val="16"/>
      </w:rPr>
      <w:instrText xml:space="preserve"> PAGE </w:instrText>
    </w:r>
    <w:r w:rsidRPr="00CB44C4">
      <w:rPr>
        <w:rStyle w:val="PageNumber"/>
        <w:rFonts w:ascii="Calibri" w:hAnsi="Calibri"/>
        <w:b w:val="0"/>
        <w:bCs w:val="0"/>
        <w:sz w:val="18"/>
        <w:szCs w:val="16"/>
      </w:rPr>
      <w:fldChar w:fldCharType="separate"/>
    </w:r>
    <w:r w:rsidR="000D2101">
      <w:rPr>
        <w:rStyle w:val="PageNumber"/>
        <w:rFonts w:ascii="Calibri" w:hAnsi="Calibri"/>
        <w:b w:val="0"/>
        <w:bCs w:val="0"/>
        <w:noProof/>
        <w:sz w:val="18"/>
        <w:szCs w:val="16"/>
      </w:rPr>
      <w:t>42</w:t>
    </w:r>
    <w:r w:rsidRPr="00CB44C4">
      <w:rPr>
        <w:rStyle w:val="PageNumber"/>
        <w:rFonts w:ascii="Calibri" w:hAnsi="Calibri"/>
        <w:b w:val="0"/>
        <w:bCs w:val="0"/>
        <w:sz w:val="18"/>
        <w:szCs w:val="16"/>
      </w:rPr>
      <w:fldChar w:fldCharType="end"/>
    </w:r>
    <w:r w:rsidRPr="00CB44C4">
      <w:tab/>
    </w:r>
    <w:r>
      <w:rPr>
        <w:szCs w:val="18"/>
      </w:rPr>
      <w:t>How councils estimate demand and supply of development capacity for housing and business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AD" w:rsidRPr="00CB44C4" w:rsidRDefault="006376AD" w:rsidP="00CB44C4">
    <w:pPr>
      <w:pStyle w:val="Footerodd"/>
    </w:pPr>
    <w:r w:rsidRPr="00CB44C4">
      <w:tab/>
    </w:r>
    <w:r>
      <w:rPr>
        <w:szCs w:val="18"/>
      </w:rPr>
      <w:t>How councils estimate demand and supply of development capacity for housing and business</w:t>
    </w:r>
    <w:r w:rsidRPr="00CB44C4">
      <w:tab/>
    </w:r>
    <w:r w:rsidRPr="00CB44C4">
      <w:rPr>
        <w:rStyle w:val="PageNumber"/>
        <w:rFonts w:ascii="Calibri" w:hAnsi="Calibri"/>
        <w:b w:val="0"/>
        <w:bCs w:val="0"/>
        <w:sz w:val="18"/>
        <w:szCs w:val="16"/>
      </w:rPr>
      <w:fldChar w:fldCharType="begin"/>
    </w:r>
    <w:r w:rsidRPr="00CB44C4">
      <w:rPr>
        <w:rStyle w:val="PageNumber"/>
        <w:rFonts w:ascii="Calibri" w:hAnsi="Calibri"/>
        <w:b w:val="0"/>
        <w:bCs w:val="0"/>
        <w:sz w:val="18"/>
        <w:szCs w:val="16"/>
      </w:rPr>
      <w:instrText xml:space="preserve"> PAGE </w:instrText>
    </w:r>
    <w:r w:rsidRPr="00CB44C4">
      <w:rPr>
        <w:rStyle w:val="PageNumber"/>
        <w:rFonts w:ascii="Calibri" w:hAnsi="Calibri"/>
        <w:b w:val="0"/>
        <w:bCs w:val="0"/>
        <w:sz w:val="18"/>
        <w:szCs w:val="16"/>
      </w:rPr>
      <w:fldChar w:fldCharType="separate"/>
    </w:r>
    <w:r w:rsidR="000D2101">
      <w:rPr>
        <w:rStyle w:val="PageNumber"/>
        <w:rFonts w:ascii="Calibri" w:hAnsi="Calibri"/>
        <w:b w:val="0"/>
        <w:bCs w:val="0"/>
        <w:noProof/>
        <w:sz w:val="18"/>
        <w:szCs w:val="16"/>
      </w:rPr>
      <w:t>43</w:t>
    </w:r>
    <w:r w:rsidRPr="00CB44C4">
      <w:rPr>
        <w:rStyle w:val="PageNumber"/>
        <w:rFonts w:ascii="Calibri" w:hAnsi="Calibri"/>
        <w:b w:val="0"/>
        <w:bCs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AD" w:rsidRDefault="006376AD" w:rsidP="005A785D">
      <w:pPr>
        <w:spacing w:after="0" w:line="240" w:lineRule="auto"/>
      </w:pPr>
      <w:r>
        <w:separator/>
      </w:r>
    </w:p>
  </w:footnote>
  <w:footnote w:type="continuationSeparator" w:id="0">
    <w:p w:rsidR="006376AD" w:rsidRDefault="006376AD" w:rsidP="009B0142">
      <w:pPr>
        <w:spacing w:after="0" w:line="240" w:lineRule="auto"/>
      </w:pPr>
      <w:r>
        <w:continuationSeparator/>
      </w:r>
    </w:p>
  </w:footnote>
  <w:footnote w:id="1">
    <w:p w:rsidR="006376AD" w:rsidRPr="00A11FE6" w:rsidRDefault="006376AD" w:rsidP="00A11FE6">
      <w:pPr>
        <w:pStyle w:val="FootnoteText"/>
      </w:pPr>
      <w:r w:rsidRPr="00A11FE6">
        <w:rPr>
          <w:rStyle w:val="FootnoteReference"/>
          <w:sz w:val="18"/>
          <w:vertAlign w:val="baseline"/>
        </w:rPr>
        <w:footnoteRef/>
      </w:r>
      <w:r w:rsidRPr="00A11FE6">
        <w:t xml:space="preserve"> Based on Statistics New Zealand medium growth projections over the period 2013-2023.</w:t>
      </w:r>
    </w:p>
  </w:footnote>
  <w:footnote w:id="2">
    <w:p w:rsidR="006376AD" w:rsidRPr="00476B33" w:rsidRDefault="006376AD" w:rsidP="00A11FE6">
      <w:pPr>
        <w:pStyle w:val="FootnoteText"/>
        <w:rPr>
          <w:lang w:val="en-US"/>
        </w:rPr>
      </w:pPr>
      <w:r w:rsidRPr="00A11FE6">
        <w:rPr>
          <w:rStyle w:val="FootnoteReference"/>
          <w:sz w:val="18"/>
          <w:vertAlign w:val="baseline"/>
        </w:rPr>
        <w:footnoteRef/>
      </w:r>
      <w:r w:rsidRPr="00A11FE6">
        <w:t xml:space="preserve"> ‘Greater Christchurch’ is a vehicle resourced by Christchurch City, </w:t>
      </w:r>
      <w:proofErr w:type="spellStart"/>
      <w:r w:rsidRPr="00A11FE6">
        <w:t>Waimakariri</w:t>
      </w:r>
      <w:proofErr w:type="spellEnd"/>
      <w:r w:rsidRPr="00A11FE6">
        <w:t xml:space="preserve"> District, Selwyn District and Environment Canterbury. It was set up to develop the Greater Christchurch Urban Development Strategy (UDS). A joint committee, consisting of those councils, the New Zealand Transport Agency (NZTA) and </w:t>
      </w:r>
      <w:proofErr w:type="spellStart"/>
      <w:r w:rsidRPr="00A11FE6">
        <w:t>Te</w:t>
      </w:r>
      <w:proofErr w:type="spellEnd"/>
      <w:r w:rsidRPr="00A11FE6">
        <w:t xml:space="preserve"> </w:t>
      </w:r>
      <w:proofErr w:type="spellStart"/>
      <w:r w:rsidRPr="00A11FE6">
        <w:t>Runanga</w:t>
      </w:r>
      <w:proofErr w:type="spellEnd"/>
      <w:r w:rsidRPr="00A11FE6">
        <w:t xml:space="preserve"> o Ngai </w:t>
      </w:r>
      <w:proofErr w:type="spellStart"/>
      <w:r w:rsidRPr="00A11FE6">
        <w:t>Tahu</w:t>
      </w:r>
      <w:proofErr w:type="spellEnd"/>
      <w:r w:rsidRPr="00A11FE6">
        <w:t xml:space="preserve"> (TRONT), is charged with implementing the UDS.</w:t>
      </w:r>
      <w:r>
        <w:rPr>
          <w:color w:val="000000" w:themeColor="text1"/>
        </w:rPr>
        <w:t xml:space="preserve">  </w:t>
      </w:r>
    </w:p>
  </w:footnote>
  <w:footnote w:id="3">
    <w:p w:rsidR="006376AD" w:rsidRPr="00BC1D53" w:rsidRDefault="006376AD" w:rsidP="009E0C89">
      <w:pPr>
        <w:pStyle w:val="FootnoteText"/>
        <w:rPr>
          <w:rFonts w:ascii="Arial" w:hAnsi="Arial" w:cs="Arial"/>
        </w:rPr>
      </w:pPr>
      <w:r w:rsidRPr="00852857">
        <w:rPr>
          <w:rStyle w:val="FootnoteReference"/>
          <w:rFonts w:asciiTheme="minorHAnsi" w:hAnsiTheme="minorHAnsi" w:cs="Arial"/>
        </w:rPr>
        <w:footnoteRef/>
      </w:r>
      <w:r w:rsidRPr="00852857">
        <w:rPr>
          <w:rFonts w:asciiTheme="minorHAnsi" w:hAnsiTheme="minorHAnsi" w:cs="Arial"/>
        </w:rPr>
        <w:t xml:space="preserve"> A report required under section 32 of the Resource Management Act 1991, which must accompany resource management planning proposals. This must define the problem, identify all options for addressing it</w:t>
      </w:r>
      <w:r w:rsidRPr="00BC1D53">
        <w:rPr>
          <w:rFonts w:ascii="Arial" w:hAnsi="Arial" w:cs="Arial"/>
        </w:rPr>
        <w:t xml:space="preserve"> </w:t>
      </w:r>
      <w:r w:rsidRPr="00852857">
        <w:rPr>
          <w:rFonts w:asciiTheme="minorHAnsi" w:hAnsiTheme="minorHAnsi" w:cs="Arial"/>
        </w:rPr>
        <w:t>(including</w:t>
      </w:r>
      <w:r>
        <w:rPr>
          <w:rFonts w:ascii="Arial" w:hAnsi="Arial" w:cs="Arial"/>
        </w:rPr>
        <w:t xml:space="preserve"> </w:t>
      </w:r>
      <w:r w:rsidRPr="00852857">
        <w:rPr>
          <w:rFonts w:asciiTheme="minorHAnsi" w:hAnsiTheme="minorHAnsi" w:cs="Arial"/>
        </w:rPr>
        <w:t>the proposed plan provisions) and evaluate the costs and benefits of these options using strong supporting evidence.</w:t>
      </w:r>
    </w:p>
  </w:footnote>
  <w:footnote w:id="4">
    <w:p w:rsidR="006376AD" w:rsidRPr="00E2646C" w:rsidRDefault="006376AD" w:rsidP="009E0C89">
      <w:pPr>
        <w:pStyle w:val="FootnoteText"/>
        <w:rPr>
          <w:rFonts w:ascii="Arial" w:hAnsi="Arial" w:cs="Arial"/>
        </w:rPr>
      </w:pPr>
      <w:r w:rsidRPr="00E2646C">
        <w:rPr>
          <w:rStyle w:val="FootnoteReference"/>
          <w:rFonts w:ascii="Arial" w:hAnsi="Arial" w:cs="Arial"/>
        </w:rPr>
        <w:footnoteRef/>
      </w:r>
      <w:r w:rsidRPr="00E2646C">
        <w:rPr>
          <w:rFonts w:ascii="Arial" w:hAnsi="Arial" w:cs="Arial"/>
        </w:rPr>
        <w:t xml:space="preserve"> </w:t>
      </w:r>
      <w:r w:rsidRPr="00852857">
        <w:rPr>
          <w:rFonts w:asciiTheme="minorHAnsi" w:hAnsiTheme="minorHAnsi" w:cs="Arial"/>
        </w:rPr>
        <w:t xml:space="preserve">Local authorities in the Wellington region are also working together to implement a </w:t>
      </w:r>
      <w:r w:rsidRPr="00852857">
        <w:rPr>
          <w:rFonts w:asciiTheme="minorHAnsi" w:hAnsiTheme="minorHAnsi" w:cs="Arial"/>
          <w:i/>
        </w:rPr>
        <w:t>Wellington Regional Strategy</w:t>
      </w:r>
      <w:r w:rsidRPr="00852857">
        <w:rPr>
          <w:rFonts w:asciiTheme="minorHAnsi" w:hAnsiTheme="minorHAnsi" w:cs="Arial"/>
        </w:rPr>
        <w:t xml:space="preserve">, and the councils of the Bay of Plenty region have a similar </w:t>
      </w:r>
      <w:r w:rsidRPr="00852857">
        <w:rPr>
          <w:rFonts w:asciiTheme="minorHAnsi" w:hAnsiTheme="minorHAnsi" w:cs="Arial"/>
          <w:i/>
        </w:rPr>
        <w:t>Bay of Connections</w:t>
      </w:r>
      <w:r w:rsidRPr="00852857">
        <w:rPr>
          <w:rFonts w:asciiTheme="minorHAnsi" w:hAnsiTheme="minorHAnsi" w:cs="Arial"/>
        </w:rPr>
        <w:t>. However, these are focused on economic development rather than joint work to support land use planning.</w:t>
      </w:r>
      <w:r w:rsidRPr="00E2646C">
        <w:rPr>
          <w:rFonts w:ascii="Arial" w:hAnsi="Arial" w:cs="Arial"/>
        </w:rPr>
        <w:t xml:space="preserve"> </w:t>
      </w:r>
    </w:p>
  </w:footnote>
  <w:footnote w:id="5">
    <w:p w:rsidR="006376AD" w:rsidRDefault="006376AD" w:rsidP="009E0C89">
      <w:pPr>
        <w:pStyle w:val="FootnoteText"/>
        <w:rPr>
          <w:rFonts w:ascii="Arial" w:hAnsi="Arial" w:cs="Arial"/>
          <w:lang w:val="en-US"/>
        </w:rPr>
      </w:pPr>
      <w:r w:rsidRPr="00476B33">
        <w:rPr>
          <w:rStyle w:val="FootnoteReference"/>
          <w:rFonts w:ascii="Arial" w:hAnsi="Arial" w:cs="Arial"/>
        </w:rPr>
        <w:footnoteRef/>
      </w:r>
      <w:r w:rsidRPr="00476B33">
        <w:rPr>
          <w:rFonts w:ascii="Arial" w:hAnsi="Arial" w:cs="Arial"/>
        </w:rPr>
        <w:t xml:space="preserve"> </w:t>
      </w:r>
      <w:r w:rsidRPr="00852857">
        <w:rPr>
          <w:rFonts w:asciiTheme="minorHAnsi" w:hAnsiTheme="minorHAnsi" w:cs="Arial"/>
          <w:lang w:val="en-US"/>
        </w:rPr>
        <w:t>Auckland has relatively high occupancy rates, which are related to large family sizes for some ethnic groups, as well as the significant of its tertiary students, and also possibly in response to high house prices.  Accordingly, Auckland Council has been questioning the estimates for falling occupancy.</w:t>
      </w:r>
      <w:r w:rsidRPr="00476B33">
        <w:rPr>
          <w:rFonts w:ascii="Arial" w:hAnsi="Arial" w:cs="Arial"/>
          <w:lang w:val="en-US"/>
        </w:rPr>
        <w:t xml:space="preserve"> </w:t>
      </w:r>
    </w:p>
    <w:p w:rsidR="006376AD" w:rsidRPr="00476B33" w:rsidRDefault="006376AD" w:rsidP="009E0C89">
      <w:pPr>
        <w:pStyle w:val="FootnoteText"/>
        <w:rPr>
          <w:rFonts w:ascii="Arial" w:hAnsi="Arial" w:cs="Arial"/>
          <w:lang w:val="en-US"/>
        </w:rPr>
      </w:pPr>
    </w:p>
  </w:footnote>
  <w:footnote w:id="6">
    <w:p w:rsidR="006376AD" w:rsidRPr="00852857" w:rsidRDefault="006376AD" w:rsidP="009E0C89">
      <w:pPr>
        <w:pStyle w:val="FootnoteText"/>
        <w:rPr>
          <w:rFonts w:asciiTheme="minorHAnsi" w:hAnsiTheme="minorHAnsi" w:cs="Arial"/>
          <w:lang w:val="en-US"/>
        </w:rPr>
      </w:pPr>
      <w:r w:rsidRPr="00852857">
        <w:rPr>
          <w:rStyle w:val="FootnoteReference"/>
          <w:rFonts w:asciiTheme="minorHAnsi" w:hAnsiTheme="minorHAnsi" w:cs="Arial"/>
        </w:rPr>
        <w:footnoteRef/>
      </w:r>
      <w:r w:rsidRPr="00852857">
        <w:rPr>
          <w:rFonts w:asciiTheme="minorHAnsi" w:hAnsiTheme="minorHAnsi" w:cs="Arial"/>
        </w:rPr>
        <w:t xml:space="preserve"> </w:t>
      </w:r>
      <w:r w:rsidRPr="00852857">
        <w:rPr>
          <w:rFonts w:asciiTheme="minorHAnsi" w:hAnsiTheme="minorHAnsi" w:cs="Arial"/>
          <w:lang w:val="en-US"/>
        </w:rPr>
        <w:t xml:space="preserve">Stochastic (probabilistic) population projections provide estimates of uncertainty. They are produced by combining 2,000 simulations of the assumptions. These simulations can be </w:t>
      </w:r>
      <w:proofErr w:type="spellStart"/>
      <w:r w:rsidRPr="00852857">
        <w:rPr>
          <w:rFonts w:asciiTheme="minorHAnsi" w:hAnsiTheme="minorHAnsi" w:cs="Arial"/>
          <w:lang w:val="en-US"/>
        </w:rPr>
        <w:t>summarised</w:t>
      </w:r>
      <w:proofErr w:type="spellEnd"/>
      <w:r w:rsidRPr="00852857">
        <w:rPr>
          <w:rFonts w:asciiTheme="minorHAnsi" w:hAnsiTheme="minorHAnsi" w:cs="Arial"/>
          <w:lang w:val="en-US"/>
        </w:rPr>
        <w:t xml:space="preserve"> by percentiles, which indicate the probability that the actual result is lower than the percentile. For example, the median projection (50</w:t>
      </w:r>
      <w:r w:rsidRPr="00852857">
        <w:rPr>
          <w:rFonts w:asciiTheme="minorHAnsi" w:hAnsiTheme="minorHAnsi" w:cs="Arial"/>
          <w:vertAlign w:val="superscript"/>
          <w:lang w:val="en-US"/>
        </w:rPr>
        <w:t>th</w:t>
      </w:r>
      <w:r w:rsidRPr="00852857">
        <w:rPr>
          <w:rFonts w:asciiTheme="minorHAnsi" w:hAnsiTheme="minorHAnsi" w:cs="Arial"/>
          <w:lang w:val="en-US"/>
        </w:rPr>
        <w:t xml:space="preserve"> percentile) indicates an estimated 50% chance that the actual value will be lower, and a 50% chance that the actual value will be higher than this percentile. The 25</w:t>
      </w:r>
      <w:r w:rsidRPr="00852857">
        <w:rPr>
          <w:rFonts w:asciiTheme="minorHAnsi" w:hAnsiTheme="minorHAnsi" w:cs="Arial"/>
          <w:vertAlign w:val="superscript"/>
          <w:lang w:val="en-US"/>
        </w:rPr>
        <w:t>th</w:t>
      </w:r>
      <w:r w:rsidRPr="00852857">
        <w:rPr>
          <w:rFonts w:asciiTheme="minorHAnsi" w:hAnsiTheme="minorHAnsi" w:cs="Arial"/>
          <w:lang w:val="en-US"/>
        </w:rPr>
        <w:t xml:space="preserve"> percentile indicates an estimated 25 percent chance that the actual value will be lower, and a 75% chance that the actual result will be higher than this percentile.</w:t>
      </w:r>
    </w:p>
    <w:p w:rsidR="006376AD" w:rsidRPr="00852857" w:rsidRDefault="006376AD" w:rsidP="009E0C89">
      <w:pPr>
        <w:pStyle w:val="FootnoteText"/>
        <w:rPr>
          <w:rFonts w:asciiTheme="minorHAnsi" w:hAnsiTheme="minorHAnsi" w:cs="Arial"/>
          <w:lang w:val="en-US"/>
        </w:rPr>
      </w:pPr>
    </w:p>
    <w:p w:rsidR="006376AD" w:rsidRPr="00852857" w:rsidRDefault="006376AD" w:rsidP="009E0C89">
      <w:pPr>
        <w:pStyle w:val="FootnoteText"/>
        <w:rPr>
          <w:rFonts w:asciiTheme="minorHAnsi" w:hAnsiTheme="minorHAnsi" w:cs="Arial"/>
          <w:lang w:val="en-US"/>
        </w:rPr>
      </w:pPr>
      <w:r w:rsidRPr="00852857">
        <w:rPr>
          <w:rStyle w:val="FootnoteReference"/>
          <w:rFonts w:asciiTheme="minorHAnsi" w:hAnsiTheme="minorHAnsi"/>
        </w:rPr>
        <w:t>6</w:t>
      </w:r>
      <w:r>
        <w:rPr>
          <w:rFonts w:asciiTheme="minorHAnsi" w:hAnsiTheme="minorHAnsi" w:cs="Arial"/>
          <w:lang w:val="en-US"/>
        </w:rPr>
        <w:t xml:space="preserve"> </w:t>
      </w:r>
      <w:r w:rsidRPr="00852857">
        <w:rPr>
          <w:rFonts w:asciiTheme="minorHAnsi" w:hAnsiTheme="minorHAnsi" w:cs="Arial"/>
          <w:lang w:val="en-US"/>
        </w:rPr>
        <w:t>Seven alternative percentiles of probability distribution (5</w:t>
      </w:r>
      <w:r w:rsidRPr="00852857">
        <w:rPr>
          <w:rFonts w:asciiTheme="minorHAnsi" w:hAnsiTheme="minorHAnsi" w:cs="Arial"/>
          <w:vertAlign w:val="superscript"/>
          <w:lang w:val="en-US"/>
        </w:rPr>
        <w:t>th</w:t>
      </w:r>
      <w:r w:rsidRPr="00852857">
        <w:rPr>
          <w:rFonts w:asciiTheme="minorHAnsi" w:hAnsiTheme="minorHAnsi" w:cs="Arial"/>
          <w:lang w:val="en-US"/>
        </w:rPr>
        <w:t>, 10</w:t>
      </w:r>
      <w:r w:rsidRPr="00852857">
        <w:rPr>
          <w:rFonts w:asciiTheme="minorHAnsi" w:hAnsiTheme="minorHAnsi" w:cs="Arial"/>
          <w:vertAlign w:val="superscript"/>
          <w:lang w:val="en-US"/>
        </w:rPr>
        <w:t>th</w:t>
      </w:r>
      <w:r w:rsidRPr="00852857">
        <w:rPr>
          <w:rFonts w:asciiTheme="minorHAnsi" w:hAnsiTheme="minorHAnsi" w:cs="Arial"/>
          <w:lang w:val="en-US"/>
        </w:rPr>
        <w:t>, 25</w:t>
      </w:r>
      <w:r w:rsidRPr="00852857">
        <w:rPr>
          <w:rFonts w:asciiTheme="minorHAnsi" w:hAnsiTheme="minorHAnsi" w:cs="Arial"/>
          <w:vertAlign w:val="superscript"/>
          <w:lang w:val="en-US"/>
        </w:rPr>
        <w:t>th</w:t>
      </w:r>
      <w:r w:rsidRPr="00852857">
        <w:rPr>
          <w:rFonts w:asciiTheme="minorHAnsi" w:hAnsiTheme="minorHAnsi" w:cs="Arial"/>
          <w:lang w:val="en-US"/>
        </w:rPr>
        <w:t>, 50</w:t>
      </w:r>
      <w:r w:rsidRPr="00852857">
        <w:rPr>
          <w:rFonts w:asciiTheme="minorHAnsi" w:hAnsiTheme="minorHAnsi" w:cs="Arial"/>
          <w:vertAlign w:val="superscript"/>
          <w:lang w:val="en-US"/>
        </w:rPr>
        <w:t>th</w:t>
      </w:r>
      <w:r w:rsidRPr="00852857">
        <w:rPr>
          <w:rFonts w:asciiTheme="minorHAnsi" w:hAnsiTheme="minorHAnsi" w:cs="Arial"/>
          <w:lang w:val="en-US"/>
        </w:rPr>
        <w:t>, 75</w:t>
      </w:r>
      <w:r w:rsidRPr="00852857">
        <w:rPr>
          <w:rFonts w:asciiTheme="minorHAnsi" w:hAnsiTheme="minorHAnsi" w:cs="Arial"/>
          <w:vertAlign w:val="superscript"/>
          <w:lang w:val="en-US"/>
        </w:rPr>
        <w:t>th</w:t>
      </w:r>
      <w:r w:rsidRPr="00852857">
        <w:rPr>
          <w:rFonts w:asciiTheme="minorHAnsi" w:hAnsiTheme="minorHAnsi" w:cs="Arial"/>
          <w:lang w:val="en-US"/>
        </w:rPr>
        <w:t>, 90</w:t>
      </w:r>
      <w:r w:rsidRPr="00852857">
        <w:rPr>
          <w:rFonts w:asciiTheme="minorHAnsi" w:hAnsiTheme="minorHAnsi" w:cs="Arial"/>
          <w:vertAlign w:val="superscript"/>
          <w:lang w:val="en-US"/>
        </w:rPr>
        <w:t>th</w:t>
      </w:r>
      <w:r w:rsidRPr="00852857">
        <w:rPr>
          <w:rFonts w:asciiTheme="minorHAnsi" w:hAnsiTheme="minorHAnsi" w:cs="Arial"/>
          <w:lang w:val="en-US"/>
        </w:rPr>
        <w:t>, and 95</w:t>
      </w:r>
      <w:r w:rsidRPr="00852857">
        <w:rPr>
          <w:rFonts w:asciiTheme="minorHAnsi" w:hAnsiTheme="minorHAnsi" w:cs="Arial"/>
          <w:vertAlign w:val="superscript"/>
          <w:lang w:val="en-US"/>
        </w:rPr>
        <w:t>th</w:t>
      </w:r>
      <w:r w:rsidRPr="00852857">
        <w:rPr>
          <w:rFonts w:asciiTheme="minorHAnsi" w:hAnsiTheme="minorHAnsi" w:cs="Arial"/>
          <w:lang w:val="en-US"/>
        </w:rPr>
        <w:t xml:space="preserve"> percentiles) will be available in these tables. Assumptions about fertility rates, life expectancy and migration will remain the key drivers of the projections and probabilities.  </w:t>
      </w:r>
    </w:p>
    <w:p w:rsidR="006376AD" w:rsidRPr="00852857" w:rsidRDefault="006376AD" w:rsidP="009E0C89">
      <w:pPr>
        <w:pStyle w:val="FootnoteText"/>
        <w:rPr>
          <w:rFonts w:asciiTheme="minorHAnsi" w:hAnsiTheme="minorHAnsi"/>
        </w:rPr>
      </w:pPr>
    </w:p>
  </w:footnote>
  <w:footnote w:id="7">
    <w:p w:rsidR="006376AD" w:rsidRPr="00476B33" w:rsidRDefault="006376AD" w:rsidP="009E0C89">
      <w:pPr>
        <w:pStyle w:val="FootnoteText"/>
        <w:rPr>
          <w:lang w:val="en-US"/>
        </w:rPr>
      </w:pPr>
      <w:r w:rsidRPr="00852857">
        <w:rPr>
          <w:rStyle w:val="FootnoteReference"/>
          <w:rFonts w:asciiTheme="minorHAnsi" w:hAnsiTheme="minorHAnsi" w:cs="Arial"/>
        </w:rPr>
        <w:footnoteRef/>
      </w:r>
      <w:r w:rsidRPr="00852857">
        <w:rPr>
          <w:rFonts w:asciiTheme="minorHAnsi" w:hAnsiTheme="minorHAnsi" w:cs="Arial"/>
        </w:rPr>
        <w:t xml:space="preserve"> </w:t>
      </w:r>
      <w:r w:rsidRPr="00852857">
        <w:rPr>
          <w:rFonts w:asciiTheme="minorHAnsi" w:hAnsiTheme="minorHAnsi" w:cs="Arial"/>
          <w:lang w:val="en-US"/>
        </w:rPr>
        <w:t>There are three different household types: one-person households, family households (including couples without children, two-parent families and one-parent families) and other multi-person households.</w:t>
      </w:r>
    </w:p>
  </w:footnote>
  <w:footnote w:id="8">
    <w:p w:rsidR="006376AD" w:rsidRPr="00F40B44" w:rsidRDefault="006376AD" w:rsidP="009E0C89">
      <w:pPr>
        <w:pStyle w:val="INTROtext"/>
        <w:spacing w:after="0" w:line="240" w:lineRule="auto"/>
        <w:rPr>
          <w:rFonts w:ascii="Arial" w:hAnsi="Arial" w:cs="Arial"/>
          <w:color w:val="000000" w:themeColor="text1"/>
          <w:sz w:val="22"/>
          <w:szCs w:val="22"/>
        </w:rPr>
      </w:pPr>
      <w:r w:rsidRPr="00476B33">
        <w:rPr>
          <w:rStyle w:val="FootnoteReference"/>
          <w:rFonts w:ascii="Arial" w:hAnsi="Arial" w:cs="Arial"/>
        </w:rPr>
        <w:footnoteRef/>
      </w:r>
      <w:r w:rsidRPr="00476B33">
        <w:rPr>
          <w:rFonts w:ascii="Arial" w:hAnsi="Arial" w:cs="Arial"/>
        </w:rPr>
        <w:t xml:space="preserve"> </w:t>
      </w:r>
      <w:r w:rsidRPr="00852857">
        <w:rPr>
          <w:rFonts w:asciiTheme="minorHAnsi" w:hAnsiTheme="minorHAnsi" w:cs="Arial"/>
          <w:color w:val="000000" w:themeColor="text1"/>
          <w:sz w:val="20"/>
          <w:szCs w:val="20"/>
        </w:rPr>
        <w:t xml:space="preserve">Tauranga City Council applies ‘target densities’ to determine residential capacity in new </w:t>
      </w:r>
      <w:proofErr w:type="gramStart"/>
      <w:r w:rsidRPr="00852857">
        <w:rPr>
          <w:rFonts w:asciiTheme="minorHAnsi" w:hAnsiTheme="minorHAnsi" w:cs="Arial"/>
          <w:color w:val="000000" w:themeColor="text1"/>
          <w:sz w:val="20"/>
          <w:szCs w:val="20"/>
        </w:rPr>
        <w:t>greenfield</w:t>
      </w:r>
      <w:proofErr w:type="gramEnd"/>
      <w:r w:rsidRPr="00852857">
        <w:rPr>
          <w:rFonts w:asciiTheme="minorHAnsi" w:hAnsiTheme="minorHAnsi" w:cs="Arial"/>
          <w:color w:val="000000" w:themeColor="text1"/>
          <w:sz w:val="20"/>
          <w:szCs w:val="20"/>
        </w:rPr>
        <w:t xml:space="preserve"> locations, rather than zone averages. It also monitors uptake of </w:t>
      </w:r>
      <w:proofErr w:type="gramStart"/>
      <w:r w:rsidRPr="00852857">
        <w:rPr>
          <w:rFonts w:asciiTheme="minorHAnsi" w:hAnsiTheme="minorHAnsi" w:cs="Arial"/>
          <w:color w:val="000000" w:themeColor="text1"/>
          <w:sz w:val="20"/>
          <w:szCs w:val="20"/>
        </w:rPr>
        <w:t>greenfield</w:t>
      </w:r>
      <w:proofErr w:type="gramEnd"/>
      <w:r w:rsidRPr="00852857">
        <w:rPr>
          <w:rFonts w:asciiTheme="minorHAnsi" w:hAnsiTheme="minorHAnsi" w:cs="Arial"/>
          <w:color w:val="000000" w:themeColor="text1"/>
          <w:sz w:val="20"/>
          <w:szCs w:val="20"/>
        </w:rPr>
        <w:t xml:space="preserve"> development to ensure residential yield assumptions are accurate.</w:t>
      </w:r>
      <w:r w:rsidRPr="00F40B44">
        <w:rPr>
          <w:rFonts w:ascii="Arial" w:hAnsi="Arial" w:cs="Arial"/>
          <w:color w:val="000000" w:themeColor="text1"/>
          <w:sz w:val="22"/>
          <w:szCs w:val="22"/>
        </w:rPr>
        <w:t xml:space="preserve"> </w:t>
      </w:r>
    </w:p>
    <w:p w:rsidR="006376AD" w:rsidRDefault="006376AD" w:rsidP="009E0C89">
      <w:pPr>
        <w:pStyle w:val="FootnoteText"/>
      </w:pPr>
    </w:p>
  </w:footnote>
  <w:footnote w:id="9">
    <w:p w:rsidR="006376AD" w:rsidRDefault="006376AD" w:rsidP="009E0C89">
      <w:pPr>
        <w:pStyle w:val="FootnoteText"/>
      </w:pPr>
      <w:r w:rsidRPr="00476B33">
        <w:rPr>
          <w:rStyle w:val="FootnoteReference"/>
          <w:rFonts w:ascii="Arial" w:hAnsi="Arial" w:cs="Arial"/>
        </w:rPr>
        <w:footnoteRef/>
      </w:r>
      <w:r w:rsidRPr="00476B33">
        <w:rPr>
          <w:rFonts w:ascii="Arial" w:hAnsi="Arial" w:cs="Arial"/>
        </w:rPr>
        <w:t xml:space="preserve"> </w:t>
      </w:r>
      <w:r w:rsidRPr="00852857">
        <w:rPr>
          <w:rFonts w:asciiTheme="minorHAnsi" w:hAnsiTheme="minorHAnsi" w:cs="Arial"/>
        </w:rPr>
        <w:t>However, local authorities recognise that r</w:t>
      </w:r>
      <w:r w:rsidRPr="00852857">
        <w:rPr>
          <w:rFonts w:asciiTheme="minorHAnsi" w:hAnsiTheme="minorHAnsi" w:cs="Arial"/>
          <w:color w:val="000000" w:themeColor="text1"/>
        </w:rPr>
        <w:t>edevelopment in existing urban areas is less likely than development of greenfield sites. Land in existing urban areas usually has higher land value (and therefore represent higher debt servicing costs) and are often in fragmented ownership. Redeveloping them may also involve demolition costs.</w:t>
      </w:r>
      <w:r>
        <w:rPr>
          <w:rFonts w:ascii="Arial" w:hAnsi="Arial" w:cs="Arial"/>
          <w:color w:val="000000" w:themeColor="text1"/>
        </w:rPr>
        <w:t xml:space="preserve"> </w:t>
      </w:r>
    </w:p>
  </w:footnote>
  <w:footnote w:id="10">
    <w:p w:rsidR="006376AD" w:rsidRPr="00852857" w:rsidRDefault="006376AD" w:rsidP="009E0C89">
      <w:pPr>
        <w:pStyle w:val="FootnoteText"/>
        <w:rPr>
          <w:rFonts w:asciiTheme="minorHAnsi" w:hAnsiTheme="minorHAnsi" w:cs="Arial"/>
        </w:rPr>
      </w:pPr>
      <w:r w:rsidRPr="00476B33">
        <w:rPr>
          <w:rStyle w:val="FootnoteReference"/>
          <w:rFonts w:ascii="Arial" w:hAnsi="Arial" w:cs="Arial"/>
        </w:rPr>
        <w:footnoteRef/>
      </w:r>
      <w:r w:rsidRPr="00476B33">
        <w:rPr>
          <w:rFonts w:ascii="Arial" w:hAnsi="Arial" w:cs="Arial"/>
        </w:rPr>
        <w:t xml:space="preserve"> </w:t>
      </w:r>
      <w:r w:rsidRPr="00852857">
        <w:rPr>
          <w:rFonts w:asciiTheme="minorHAnsi" w:hAnsiTheme="minorHAnsi" w:cs="Arial"/>
        </w:rPr>
        <w:t>For example, manufacturing and wholesaling is very land extensive, often requiring large plots near motorways but buffered from other land uses. Meanwhile, business services firms often concentrate in high-rise buildings in main centres, to access each other and professional workers.</w:t>
      </w:r>
    </w:p>
    <w:p w:rsidR="006376AD" w:rsidRPr="00852857" w:rsidRDefault="006376AD" w:rsidP="009E0C89">
      <w:pPr>
        <w:pStyle w:val="FootnoteText"/>
        <w:rPr>
          <w:rFonts w:asciiTheme="minorHAnsi" w:hAnsiTheme="minorHAnsi" w:cs="Arial"/>
        </w:rPr>
      </w:pPr>
    </w:p>
  </w:footnote>
  <w:footnote w:id="11">
    <w:p w:rsidR="006376AD" w:rsidRPr="00476B33" w:rsidRDefault="006376AD" w:rsidP="009E0C89">
      <w:pPr>
        <w:pStyle w:val="FootnoteText"/>
        <w:rPr>
          <w:rFonts w:ascii="Arial" w:hAnsi="Arial" w:cs="Arial"/>
        </w:rPr>
      </w:pPr>
      <w:r w:rsidRPr="00852857">
        <w:rPr>
          <w:rStyle w:val="FootnoteReference"/>
          <w:rFonts w:asciiTheme="minorHAnsi" w:hAnsiTheme="minorHAnsi" w:cs="Arial"/>
        </w:rPr>
        <w:footnoteRef/>
      </w:r>
      <w:r w:rsidRPr="00852857">
        <w:rPr>
          <w:rFonts w:asciiTheme="minorHAnsi" w:hAnsiTheme="minorHAnsi" w:cs="Arial"/>
        </w:rPr>
        <w:t xml:space="preserve"> Business and Economic Research Ltd and </w:t>
      </w:r>
      <w:proofErr w:type="spellStart"/>
      <w:r w:rsidRPr="00852857">
        <w:rPr>
          <w:rFonts w:asciiTheme="minorHAnsi" w:hAnsiTheme="minorHAnsi" w:cs="Arial"/>
        </w:rPr>
        <w:t>Ascari</w:t>
      </w:r>
      <w:proofErr w:type="spellEnd"/>
      <w:r w:rsidRPr="00852857">
        <w:rPr>
          <w:rFonts w:asciiTheme="minorHAnsi" w:hAnsiTheme="minorHAnsi" w:cs="Arial"/>
        </w:rPr>
        <w:t xml:space="preserve"> 2016, </w:t>
      </w:r>
      <w:r w:rsidRPr="00852857">
        <w:rPr>
          <w:rFonts w:asciiTheme="minorHAnsi" w:hAnsiTheme="minorHAnsi" w:cs="Arial"/>
          <w:i/>
        </w:rPr>
        <w:t>Business land – problems and causes.</w:t>
      </w:r>
    </w:p>
  </w:footnote>
  <w:footnote w:id="12">
    <w:p w:rsidR="006376AD" w:rsidRPr="00D25FDD" w:rsidRDefault="006376AD" w:rsidP="009E0C89">
      <w:pPr>
        <w:pStyle w:val="FootnoteText"/>
        <w:rPr>
          <w:rFonts w:ascii="Arial" w:hAnsi="Arial" w:cs="Arial"/>
          <w:lang w:val="en-US"/>
        </w:rPr>
      </w:pPr>
      <w:r w:rsidRPr="0043641A">
        <w:rPr>
          <w:rStyle w:val="FootnoteReference"/>
          <w:rFonts w:ascii="Arial" w:hAnsi="Arial" w:cs="Arial"/>
        </w:rPr>
        <w:footnoteRef/>
      </w:r>
      <w:r w:rsidRPr="0043641A">
        <w:rPr>
          <w:rFonts w:ascii="Arial" w:hAnsi="Arial" w:cs="Arial"/>
        </w:rPr>
        <w:t xml:space="preserve"> </w:t>
      </w:r>
      <w:r w:rsidRPr="00852857">
        <w:rPr>
          <w:rFonts w:asciiTheme="minorHAnsi" w:hAnsiTheme="minorHAnsi" w:cs="Arial"/>
        </w:rPr>
        <w:t xml:space="preserve">Work carried out by </w:t>
      </w:r>
      <w:r w:rsidRPr="00852857">
        <w:rPr>
          <w:rFonts w:asciiTheme="minorHAnsi" w:hAnsiTheme="minorHAnsi" w:cs="Arial"/>
          <w:lang w:val="en-US"/>
        </w:rPr>
        <w:t xml:space="preserve">BERL and </w:t>
      </w:r>
      <w:proofErr w:type="spellStart"/>
      <w:r w:rsidRPr="00852857">
        <w:rPr>
          <w:rFonts w:asciiTheme="minorHAnsi" w:hAnsiTheme="minorHAnsi" w:cs="Arial"/>
          <w:lang w:val="en-US"/>
        </w:rPr>
        <w:t>Ascari</w:t>
      </w:r>
      <w:proofErr w:type="spellEnd"/>
      <w:r w:rsidRPr="00852857">
        <w:rPr>
          <w:rFonts w:asciiTheme="minorHAnsi" w:hAnsiTheme="minorHAnsi" w:cs="Arial"/>
          <w:lang w:val="en-US"/>
        </w:rPr>
        <w:t xml:space="preserve"> </w:t>
      </w:r>
      <w:r w:rsidRPr="00852857">
        <w:rPr>
          <w:rFonts w:asciiTheme="minorHAnsi" w:hAnsiTheme="minorHAnsi" w:cs="Arial"/>
        </w:rPr>
        <w:t xml:space="preserve">for the Upper North Island Strategic Alliance </w:t>
      </w:r>
      <w:r w:rsidRPr="00852857">
        <w:rPr>
          <w:rFonts w:asciiTheme="minorHAnsi" w:hAnsiTheme="minorHAnsi" w:cs="Arial"/>
          <w:lang w:val="en-US"/>
        </w:rPr>
        <w:t>proposes a method that explicitly attributes floor areas per employee and hectare based on observed densities.</w:t>
      </w:r>
    </w:p>
    <w:p w:rsidR="006376AD" w:rsidRPr="00D25FDD" w:rsidRDefault="006376AD" w:rsidP="009E0C89">
      <w:pPr>
        <w:pStyle w:val="FootnoteText"/>
        <w:rPr>
          <w:rFonts w:ascii="Arial" w:hAnsi="Arial" w:cs="Arial"/>
          <w:lang w:val="en-US"/>
        </w:rPr>
      </w:pPr>
    </w:p>
  </w:footnote>
  <w:footnote w:id="13">
    <w:p w:rsidR="006376AD" w:rsidRDefault="006376AD" w:rsidP="009E0C89">
      <w:pPr>
        <w:pStyle w:val="FootnoteText"/>
      </w:pPr>
      <w:r w:rsidRPr="00B73E10">
        <w:rPr>
          <w:rStyle w:val="FootnoteReference"/>
          <w:rFonts w:ascii="Arial" w:hAnsi="Arial" w:cs="Arial"/>
        </w:rPr>
        <w:footnoteRef/>
      </w:r>
      <w:r w:rsidRPr="00B73E10">
        <w:rPr>
          <w:rFonts w:ascii="Arial" w:hAnsi="Arial" w:cs="Arial"/>
        </w:rPr>
        <w:t xml:space="preserve"> </w:t>
      </w:r>
      <w:r w:rsidRPr="00852857">
        <w:rPr>
          <w:rFonts w:asciiTheme="minorHAnsi" w:hAnsiTheme="minorHAnsi" w:cs="Arial"/>
          <w:color w:val="000000" w:themeColor="text1"/>
        </w:rPr>
        <w:t>Building consents are likely to present a better picture of whether development is likely to occur than resource consents; obtaining a building consent requires some up-front investment in building and development design, whereas a resource consent does not.</w:t>
      </w:r>
      <w:r>
        <w:rPr>
          <w:rFonts w:ascii="Arial" w:hAnsi="Arial" w:cs="Arial"/>
          <w:color w:val="000000" w:themeColor="text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AD" w:rsidRDefault="006376AD" w:rsidP="0011066F">
    <w:pPr>
      <w:pStyle w:val="Header"/>
      <w:tabs>
        <w:tab w:val="clear" w:pos="4513"/>
        <w:tab w:val="clear" w:pos="9026"/>
      </w:tabs>
      <w:ind w:left="-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AD" w:rsidRDefault="006376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AD" w:rsidRDefault="006376AD" w:rsidP="0040640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AD" w:rsidRDefault="006376A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AD" w:rsidRDefault="006376AD" w:rsidP="004064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626"/>
    <w:multiLevelType w:val="hybridMultilevel"/>
    <w:tmpl w:val="8D184994"/>
    <w:lvl w:ilvl="0" w:tplc="DB9C7798">
      <w:start w:val="1"/>
      <w:numFmt w:val="decimal"/>
      <w:pStyle w:val="Numberedparagraph"/>
      <w:lvlText w:val="%1."/>
      <w:lvlJc w:val="left"/>
      <w:pPr>
        <w:tabs>
          <w:tab w:val="num" w:pos="397"/>
        </w:tabs>
        <w:ind w:left="397"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nsid w:val="0A71376A"/>
    <w:multiLevelType w:val="hybridMultilevel"/>
    <w:tmpl w:val="3ACC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F5F0E"/>
    <w:multiLevelType w:val="hybridMultilevel"/>
    <w:tmpl w:val="8FFC4770"/>
    <w:lvl w:ilvl="0" w:tplc="E264C0DC">
      <w:start w:val="1"/>
      <w:numFmt w:val="bullet"/>
      <w:pStyle w:val="Greenbullet-tables"/>
      <w:lvlText w:val=""/>
      <w:lvlJc w:val="left"/>
      <w:pPr>
        <w:ind w:left="644" w:hanging="360"/>
      </w:pPr>
      <w:rPr>
        <w:rFonts w:ascii="Symbol" w:hAnsi="Symbol" w:hint="default"/>
        <w:color w:val="677719"/>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nsid w:val="0EB0199C"/>
    <w:multiLevelType w:val="hybridMultilevel"/>
    <w:tmpl w:val="3C7E1392"/>
    <w:lvl w:ilvl="0" w:tplc="F822B5CE">
      <w:start w:val="1"/>
      <w:numFmt w:val="lowerLetter"/>
      <w:pStyle w:val="Bodytexta"/>
      <w:lvlText w:val="%1)"/>
      <w:lvlJc w:val="left"/>
      <w:pPr>
        <w:ind w:left="1440" w:hanging="360"/>
      </w:pPr>
      <w:rPr>
        <w:rFonts w:ascii="Calibri" w:hAnsi="Calibri" w:hint="default"/>
        <w:b w:val="0"/>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2CA0D9E"/>
    <w:multiLevelType w:val="hybridMultilevel"/>
    <w:tmpl w:val="3432DB8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8180A2D"/>
    <w:multiLevelType w:val="hybridMultilevel"/>
    <w:tmpl w:val="1EC2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C6E24"/>
    <w:multiLevelType w:val="hybridMultilevel"/>
    <w:tmpl w:val="562427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E7824AD"/>
    <w:multiLevelType w:val="hybridMultilevel"/>
    <w:tmpl w:val="70FE5E90"/>
    <w:lvl w:ilvl="0" w:tplc="38BE6490">
      <w:start w:val="1"/>
      <w:numFmt w:val="bullet"/>
      <w:pStyle w:val="Tablebullet"/>
      <w:lvlText w:val=""/>
      <w:lvlJc w:val="left"/>
      <w:pPr>
        <w:tabs>
          <w:tab w:val="num" w:pos="338"/>
        </w:tabs>
        <w:ind w:left="338" w:hanging="338"/>
      </w:pPr>
      <w:rPr>
        <w:rFonts w:ascii="Symbol" w:hAnsi="Symbol" w:hint="default"/>
        <w:sz w:val="16"/>
      </w:rPr>
    </w:lvl>
    <w:lvl w:ilvl="1" w:tplc="08090003">
      <w:start w:val="1"/>
      <w:numFmt w:val="bullet"/>
      <w:pStyle w:val="TableDash"/>
      <w:lvlText w:val=""/>
      <w:lvlJc w:val="left"/>
      <w:pPr>
        <w:tabs>
          <w:tab w:val="num" w:pos="567"/>
        </w:tabs>
        <w:ind w:left="567" w:hanging="227"/>
      </w:pPr>
      <w:rPr>
        <w:rFonts w:ascii="Symbol" w:hAnsi="Symbol" w:hint="default"/>
        <w:sz w:val="22"/>
      </w:rPr>
    </w:lvl>
    <w:lvl w:ilvl="2" w:tplc="08090005">
      <w:start w:val="13"/>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FE604F7"/>
    <w:multiLevelType w:val="hybridMultilevel"/>
    <w:tmpl w:val="B81C89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0714EA0"/>
    <w:multiLevelType w:val="hybridMultilevel"/>
    <w:tmpl w:val="1942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26839"/>
    <w:multiLevelType w:val="hybridMultilevel"/>
    <w:tmpl w:val="666EEF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41E2EA4"/>
    <w:multiLevelType w:val="hybridMultilevel"/>
    <w:tmpl w:val="AB28B9C8"/>
    <w:lvl w:ilvl="0" w:tplc="A3EABA02">
      <w:start w:val="1"/>
      <w:numFmt w:val="decimal"/>
      <w:pStyle w:val="Bodytextnumbered"/>
      <w:lvlText w:val="%1"/>
      <w:lvlJc w:val="left"/>
      <w:pPr>
        <w:ind w:left="720" w:hanging="360"/>
      </w:pPr>
      <w:rPr>
        <w:rFonts w:ascii="Calibri" w:hAnsi="Calibri"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DE7087E"/>
    <w:multiLevelType w:val="hybridMultilevel"/>
    <w:tmpl w:val="1B641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E92555"/>
    <w:multiLevelType w:val="hybridMultilevel"/>
    <w:tmpl w:val="8E5028E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427701FB"/>
    <w:multiLevelType w:val="hybridMultilevel"/>
    <w:tmpl w:val="87A07910"/>
    <w:lvl w:ilvl="0" w:tplc="C04A679E">
      <w:start w:val="1"/>
      <w:numFmt w:val="bullet"/>
      <w:pStyle w:val="Sub-list"/>
      <w:lvlText w:val=""/>
      <w:lvlJc w:val="left"/>
      <w:pPr>
        <w:tabs>
          <w:tab w:val="num" w:pos="397"/>
        </w:tabs>
        <w:ind w:left="397" w:firstLine="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nsid w:val="45FA43BA"/>
    <w:multiLevelType w:val="hybridMultilevel"/>
    <w:tmpl w:val="ECEA7E8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nsid w:val="463D6104"/>
    <w:multiLevelType w:val="hybridMultilevel"/>
    <w:tmpl w:val="4ABA2070"/>
    <w:lvl w:ilvl="0" w:tplc="5308CA02">
      <w:start w:val="1"/>
      <w:numFmt w:val="lowerRoman"/>
      <w:pStyle w:val="Sub-listi"/>
      <w:lvlText w:val="%1."/>
      <w:lvlJc w:val="left"/>
      <w:pPr>
        <w:tabs>
          <w:tab w:val="num" w:pos="1191"/>
        </w:tabs>
        <w:ind w:left="1191"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7">
    <w:nsid w:val="480C26BA"/>
    <w:multiLevelType w:val="multilevel"/>
    <w:tmpl w:val="784A2DEE"/>
    <w:lvl w:ilvl="0">
      <w:start w:val="1"/>
      <w:numFmt w:val="decimal"/>
      <w:pStyle w:val="ListBullet"/>
      <w:lvlText w:val="%1."/>
      <w:lvlJc w:val="left"/>
      <w:pPr>
        <w:tabs>
          <w:tab w:val="num" w:pos="737"/>
        </w:tabs>
        <w:ind w:left="737" w:hanging="737"/>
      </w:pPr>
      <w:rPr>
        <w:rFonts w:ascii="Arial" w:hAnsi="Arial" w:cs="Arial" w:hint="default"/>
        <w:b/>
        <w:i w:val="0"/>
        <w:color w:val="0076C0"/>
        <w:sz w:val="32"/>
        <w:szCs w:val="32"/>
      </w:rPr>
    </w:lvl>
    <w:lvl w:ilvl="1">
      <w:start w:val="1"/>
      <w:numFmt w:val="decimal"/>
      <w:lvlText w:val="%1.%2."/>
      <w:lvlJc w:val="left"/>
      <w:pPr>
        <w:tabs>
          <w:tab w:val="num" w:pos="737"/>
        </w:tabs>
        <w:ind w:left="737" w:hanging="737"/>
      </w:pPr>
      <w:rPr>
        <w:rFonts w:ascii="Arial" w:hAnsi="Arial" w:cs="Arial" w:hint="default"/>
        <w:color w:val="0076C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4C093034"/>
    <w:multiLevelType w:val="hybridMultilevel"/>
    <w:tmpl w:val="D8EA176A"/>
    <w:lvl w:ilvl="0" w:tplc="84147204">
      <w:start w:val="1"/>
      <w:numFmt w:val="bullet"/>
      <w:pStyle w:val="Questionbullet"/>
      <w:lvlText w:val=""/>
      <w:lvlJc w:val="left"/>
      <w:pPr>
        <w:ind w:left="1004" w:hanging="360"/>
      </w:pPr>
      <w:rPr>
        <w:rFonts w:ascii="Symbol" w:hAnsi="Symbol" w:hint="default"/>
        <w:color w:val="C66005"/>
        <w:sz w:val="20"/>
        <w:szCs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9">
    <w:nsid w:val="50644C35"/>
    <w:multiLevelType w:val="hybridMultilevel"/>
    <w:tmpl w:val="400ED6EA"/>
    <w:lvl w:ilvl="0" w:tplc="CEF2A8B0">
      <w:start w:val="1"/>
      <w:numFmt w:val="decimal"/>
      <w:lvlText w:val="%1"/>
      <w:lvlJc w:val="left"/>
      <w:pPr>
        <w:ind w:left="360" w:hanging="360"/>
      </w:pPr>
      <w:rPr>
        <w:rFonts w:hint="default"/>
        <w:sz w:val="22"/>
        <w:szCs w:val="22"/>
      </w:rPr>
    </w:lvl>
    <w:lvl w:ilvl="1" w:tplc="90BC13EA">
      <w:start w:val="1"/>
      <w:numFmt w:val="lowerLetter"/>
      <w:pStyle w:val="Numbering-Thirdlevel"/>
      <w:lvlText w:val="%2."/>
      <w:lvlJc w:val="left"/>
      <w:pPr>
        <w:tabs>
          <w:tab w:val="num" w:pos="1080"/>
        </w:tabs>
        <w:ind w:left="1080" w:hanging="360"/>
      </w:pPr>
    </w:lvl>
    <w:lvl w:ilvl="2" w:tplc="87925440">
      <w:start w:val="1"/>
      <w:numFmt w:val="lowerRoman"/>
      <w:pStyle w:val="Numbering-Thirdlevel"/>
      <w:lvlText w:val="%3."/>
      <w:lvlJc w:val="right"/>
      <w:pPr>
        <w:tabs>
          <w:tab w:val="num" w:pos="1800"/>
        </w:tabs>
        <w:ind w:left="180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53535234"/>
    <w:multiLevelType w:val="singleLevel"/>
    <w:tmpl w:val="7FC073B8"/>
    <w:lvl w:ilvl="0">
      <w:start w:val="1"/>
      <w:numFmt w:val="bullet"/>
      <w:pStyle w:val="Boxbullet"/>
      <w:lvlText w:val=""/>
      <w:lvlJc w:val="left"/>
      <w:pPr>
        <w:tabs>
          <w:tab w:val="num" w:pos="851"/>
        </w:tabs>
        <w:ind w:left="851" w:hanging="567"/>
      </w:pPr>
      <w:rPr>
        <w:rFonts w:ascii="Symbol" w:hAnsi="Symbol" w:hint="default"/>
        <w:sz w:val="16"/>
      </w:rPr>
    </w:lvl>
  </w:abstractNum>
  <w:abstractNum w:abstractNumId="21">
    <w:nsid w:val="62FB0C9C"/>
    <w:multiLevelType w:val="hybridMultilevel"/>
    <w:tmpl w:val="E48C6FEC"/>
    <w:lvl w:ilvl="0" w:tplc="2D28E2DC">
      <w:start w:val="1"/>
      <w:numFmt w:val="decimal"/>
      <w:pStyle w:val="Boxnumbered"/>
      <w:lvlText w:val="%1"/>
      <w:lvlJc w:val="left"/>
      <w:pPr>
        <w:ind w:left="1004" w:hanging="360"/>
      </w:pPr>
      <w:rPr>
        <w:rFonts w:ascii="Calibri" w:hAnsi="Calibri" w:hint="default"/>
        <w:b w:val="0"/>
        <w:bCs w:val="0"/>
        <w:i w:val="0"/>
        <w:sz w:val="22"/>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2">
    <w:nsid w:val="653A1DB2"/>
    <w:multiLevelType w:val="multilevel"/>
    <w:tmpl w:val="7C9A8406"/>
    <w:lvl w:ilvl="0">
      <w:start w:val="1"/>
      <w:numFmt w:val="bullet"/>
      <w:lvlText w:val=""/>
      <w:lvlJc w:val="left"/>
      <w:pPr>
        <w:tabs>
          <w:tab w:val="num" w:pos="720"/>
        </w:tabs>
        <w:ind w:left="720" w:hanging="360"/>
      </w:pPr>
      <w:rPr>
        <w:rFonts w:ascii="Symbol" w:hAnsi="Symbol" w:hint="default"/>
        <w:sz w:val="20"/>
      </w:rPr>
    </w:lvl>
    <w:lvl w:ilvl="1">
      <w:start w:val="1"/>
      <w:numFmt w:val="bullet"/>
      <w:pStyle w:val="Sub-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633BEB"/>
    <w:multiLevelType w:val="hybridMultilevel"/>
    <w:tmpl w:val="849CF252"/>
    <w:lvl w:ilvl="0" w:tplc="E5E29082">
      <w:start w:val="1"/>
      <w:numFmt w:val="decimal"/>
      <w:pStyle w:val="Browntextnumbered"/>
      <w:lvlText w:val="%1"/>
      <w:lvlJc w:val="left"/>
      <w:pPr>
        <w:ind w:left="720" w:hanging="360"/>
      </w:pPr>
      <w:rPr>
        <w:rFonts w:ascii="Calibri" w:hAnsi="Calibri" w:hint="default"/>
        <w:b w:val="0"/>
        <w:color w:val="B4701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8A24DDC"/>
    <w:multiLevelType w:val="hybridMultilevel"/>
    <w:tmpl w:val="65B2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70677"/>
    <w:multiLevelType w:val="hybridMultilevel"/>
    <w:tmpl w:val="5BA89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0EF4863"/>
    <w:multiLevelType w:val="multilevel"/>
    <w:tmpl w:val="07D24A36"/>
    <w:lvl w:ilvl="0">
      <w:start w:val="1"/>
      <w:numFmt w:val="decimal"/>
      <w:pStyle w:val="APPENDIX"/>
      <w:lvlText w:val="APPENDIX : %1"/>
      <w:lvlJc w:val="left"/>
      <w:pPr>
        <w:tabs>
          <w:tab w:val="num" w:pos="1985"/>
        </w:tabs>
        <w:ind w:left="1985" w:hanging="1985"/>
      </w:pPr>
      <w:rPr>
        <w:rFonts w:ascii="Montserrat" w:hAnsi="Montserrat" w:hint="default"/>
        <w:b w:val="0"/>
        <w:i w:val="0"/>
        <w:color w:val="0076C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E4D254A"/>
    <w:multiLevelType w:val="singleLevel"/>
    <w:tmpl w:val="DF2C48E8"/>
    <w:lvl w:ilvl="0">
      <w:start w:val="1"/>
      <w:numFmt w:val="bullet"/>
      <w:pStyle w:val="Bullet"/>
      <w:lvlText w:val=""/>
      <w:lvlJc w:val="left"/>
      <w:pPr>
        <w:tabs>
          <w:tab w:val="num" w:pos="567"/>
        </w:tabs>
        <w:ind w:left="567" w:hanging="567"/>
      </w:pPr>
      <w:rPr>
        <w:rFonts w:ascii="Symbol" w:hAnsi="Symbol" w:hint="default"/>
        <w:color w:val="auto"/>
        <w:sz w:val="18"/>
        <w:szCs w:val="20"/>
      </w:rPr>
    </w:lvl>
  </w:abstractNum>
  <w:abstractNum w:abstractNumId="28">
    <w:nsid w:val="7EE15291"/>
    <w:multiLevelType w:val="hybridMultilevel"/>
    <w:tmpl w:val="B30C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2"/>
  </w:num>
  <w:num w:numId="4">
    <w:abstractNumId w:val="20"/>
  </w:num>
  <w:num w:numId="5">
    <w:abstractNumId w:val="21"/>
  </w:num>
  <w:num w:numId="6">
    <w:abstractNumId w:val="2"/>
  </w:num>
  <w:num w:numId="7">
    <w:abstractNumId w:val="23"/>
  </w:num>
  <w:num w:numId="8">
    <w:abstractNumId w:val="11"/>
  </w:num>
  <w:num w:numId="9">
    <w:abstractNumId w:val="3"/>
  </w:num>
  <w:num w:numId="10">
    <w:abstractNumId w:val="18"/>
  </w:num>
  <w:num w:numId="11">
    <w:abstractNumId w:val="0"/>
  </w:num>
  <w:num w:numId="12">
    <w:abstractNumId w:val="14"/>
  </w:num>
  <w:num w:numId="13">
    <w:abstractNumId w:val="1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6"/>
  </w:num>
  <w:num w:numId="17">
    <w:abstractNumId w:val="24"/>
  </w:num>
  <w:num w:numId="18">
    <w:abstractNumId w:val="1"/>
  </w:num>
  <w:num w:numId="19">
    <w:abstractNumId w:val="12"/>
  </w:num>
  <w:num w:numId="20">
    <w:abstractNumId w:val="5"/>
  </w:num>
  <w:num w:numId="21">
    <w:abstractNumId w:val="28"/>
  </w:num>
  <w:num w:numId="22">
    <w:abstractNumId w:val="8"/>
  </w:num>
  <w:num w:numId="23">
    <w:abstractNumId w:val="6"/>
  </w:num>
  <w:num w:numId="24">
    <w:abstractNumId w:val="10"/>
  </w:num>
  <w:num w:numId="25">
    <w:abstractNumId w:val="9"/>
  </w:num>
  <w:num w:numId="26">
    <w:abstractNumId w:val="19"/>
  </w:num>
  <w:num w:numId="27">
    <w:abstractNumId w:val="25"/>
  </w:num>
  <w:num w:numId="28">
    <w:abstractNumId w:val="15"/>
  </w:num>
  <w:num w:numId="29">
    <w:abstractNumId w:val="13"/>
  </w:num>
  <w:num w:numId="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397"/>
  <w:evenAndOddHeaders/>
  <w:characterSpacingControl w:val="doNotCompress"/>
  <w:hdrShapeDefaults>
    <o:shapedefaults v:ext="edit" spidmax="10241" style="mso-height-percent:200;mso-width-relative:margin;mso-height-relative:margin" fillcolor="none [3212]" strokecolor="none [3212]">
      <v:fill color="none [3212]"/>
      <v:stroke color="none [3212]"/>
      <v:textbox style="mso-fit-shape-to-text:t"/>
      <o:colormru v:ext="edit" colors="#002663,#e36f1e"/>
    </o:shapedefaults>
  </w:hdrShapeDefaults>
  <w:footnotePr>
    <w:footnote w:id="-1"/>
    <w:footnote w:id="0"/>
  </w:footnotePr>
  <w:endnotePr>
    <w:numFmt w:val="decimal"/>
    <w:endnote w:id="-1"/>
    <w:endnote w:id="0"/>
  </w:endnotePr>
  <w:compat>
    <w:suppressBottomSpacing/>
    <w:suppressTopSpacing/>
    <w:suppressSpBfAfterPgBrk/>
    <w:doNotUseHTMLParagraphAutoSpacing/>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89"/>
    <w:rsid w:val="000007A8"/>
    <w:rsid w:val="00000C79"/>
    <w:rsid w:val="00000EDA"/>
    <w:rsid w:val="00000F26"/>
    <w:rsid w:val="000012D2"/>
    <w:rsid w:val="00001F78"/>
    <w:rsid w:val="000023D0"/>
    <w:rsid w:val="000026C2"/>
    <w:rsid w:val="00002B93"/>
    <w:rsid w:val="000030DA"/>
    <w:rsid w:val="00003761"/>
    <w:rsid w:val="000037F4"/>
    <w:rsid w:val="00003B1B"/>
    <w:rsid w:val="0000481D"/>
    <w:rsid w:val="0000489D"/>
    <w:rsid w:val="000048DE"/>
    <w:rsid w:val="00004906"/>
    <w:rsid w:val="00004C46"/>
    <w:rsid w:val="00004D33"/>
    <w:rsid w:val="000056EA"/>
    <w:rsid w:val="00005741"/>
    <w:rsid w:val="00005E53"/>
    <w:rsid w:val="000068A3"/>
    <w:rsid w:val="00007DF9"/>
    <w:rsid w:val="000106F8"/>
    <w:rsid w:val="00010711"/>
    <w:rsid w:val="000108B0"/>
    <w:rsid w:val="00010E41"/>
    <w:rsid w:val="00010E93"/>
    <w:rsid w:val="0001138E"/>
    <w:rsid w:val="00011A10"/>
    <w:rsid w:val="0001209E"/>
    <w:rsid w:val="0001257F"/>
    <w:rsid w:val="00012D8F"/>
    <w:rsid w:val="000133E6"/>
    <w:rsid w:val="000135A0"/>
    <w:rsid w:val="00013856"/>
    <w:rsid w:val="000149B9"/>
    <w:rsid w:val="00015037"/>
    <w:rsid w:val="000151E4"/>
    <w:rsid w:val="000158BE"/>
    <w:rsid w:val="00015AD9"/>
    <w:rsid w:val="00015C38"/>
    <w:rsid w:val="00015D15"/>
    <w:rsid w:val="000165A8"/>
    <w:rsid w:val="00016629"/>
    <w:rsid w:val="00016A59"/>
    <w:rsid w:val="00016A68"/>
    <w:rsid w:val="00016F0B"/>
    <w:rsid w:val="000170EE"/>
    <w:rsid w:val="00017A25"/>
    <w:rsid w:val="000201FC"/>
    <w:rsid w:val="00020988"/>
    <w:rsid w:val="00020B30"/>
    <w:rsid w:val="00021190"/>
    <w:rsid w:val="0002140C"/>
    <w:rsid w:val="00021ADA"/>
    <w:rsid w:val="0002208D"/>
    <w:rsid w:val="00022363"/>
    <w:rsid w:val="000228D7"/>
    <w:rsid w:val="00022AE8"/>
    <w:rsid w:val="00022B2E"/>
    <w:rsid w:val="00022E4A"/>
    <w:rsid w:val="00022E94"/>
    <w:rsid w:val="0002392B"/>
    <w:rsid w:val="00023E33"/>
    <w:rsid w:val="00023FF3"/>
    <w:rsid w:val="00024054"/>
    <w:rsid w:val="000244FB"/>
    <w:rsid w:val="00024549"/>
    <w:rsid w:val="00024D09"/>
    <w:rsid w:val="00024D78"/>
    <w:rsid w:val="00024FB3"/>
    <w:rsid w:val="000251D1"/>
    <w:rsid w:val="00025A9D"/>
    <w:rsid w:val="000260A1"/>
    <w:rsid w:val="00026454"/>
    <w:rsid w:val="00026792"/>
    <w:rsid w:val="00026A9B"/>
    <w:rsid w:val="00027616"/>
    <w:rsid w:val="0002785D"/>
    <w:rsid w:val="00027EF6"/>
    <w:rsid w:val="000305BF"/>
    <w:rsid w:val="0003090B"/>
    <w:rsid w:val="00030A14"/>
    <w:rsid w:val="000311D8"/>
    <w:rsid w:val="00031870"/>
    <w:rsid w:val="00031898"/>
    <w:rsid w:val="00031F48"/>
    <w:rsid w:val="00032087"/>
    <w:rsid w:val="0003264B"/>
    <w:rsid w:val="00032C7B"/>
    <w:rsid w:val="0003306A"/>
    <w:rsid w:val="000330A5"/>
    <w:rsid w:val="00033F7F"/>
    <w:rsid w:val="000340E5"/>
    <w:rsid w:val="00034789"/>
    <w:rsid w:val="00034B7E"/>
    <w:rsid w:val="0003567D"/>
    <w:rsid w:val="00035B0E"/>
    <w:rsid w:val="00035C08"/>
    <w:rsid w:val="000368BA"/>
    <w:rsid w:val="000368E7"/>
    <w:rsid w:val="00037A03"/>
    <w:rsid w:val="000404CA"/>
    <w:rsid w:val="000406C7"/>
    <w:rsid w:val="00040AF2"/>
    <w:rsid w:val="00040F16"/>
    <w:rsid w:val="00041197"/>
    <w:rsid w:val="00041450"/>
    <w:rsid w:val="00041647"/>
    <w:rsid w:val="000416B0"/>
    <w:rsid w:val="000417F9"/>
    <w:rsid w:val="0004233F"/>
    <w:rsid w:val="00043037"/>
    <w:rsid w:val="000439A3"/>
    <w:rsid w:val="0004450B"/>
    <w:rsid w:val="00044758"/>
    <w:rsid w:val="000451FB"/>
    <w:rsid w:val="000454FC"/>
    <w:rsid w:val="00045F92"/>
    <w:rsid w:val="000461F2"/>
    <w:rsid w:val="00046392"/>
    <w:rsid w:val="000469D7"/>
    <w:rsid w:val="00046D42"/>
    <w:rsid w:val="000470C0"/>
    <w:rsid w:val="000474CC"/>
    <w:rsid w:val="00047BF4"/>
    <w:rsid w:val="00047C9C"/>
    <w:rsid w:val="00050253"/>
    <w:rsid w:val="0005058A"/>
    <w:rsid w:val="0005096C"/>
    <w:rsid w:val="00050B86"/>
    <w:rsid w:val="00050D30"/>
    <w:rsid w:val="000510BC"/>
    <w:rsid w:val="0005116B"/>
    <w:rsid w:val="0005117C"/>
    <w:rsid w:val="00053482"/>
    <w:rsid w:val="0005366C"/>
    <w:rsid w:val="000539C9"/>
    <w:rsid w:val="000540E1"/>
    <w:rsid w:val="000543A5"/>
    <w:rsid w:val="000547B5"/>
    <w:rsid w:val="0005492F"/>
    <w:rsid w:val="000550B4"/>
    <w:rsid w:val="0005523D"/>
    <w:rsid w:val="000558A4"/>
    <w:rsid w:val="000564B9"/>
    <w:rsid w:val="00057765"/>
    <w:rsid w:val="000579B8"/>
    <w:rsid w:val="00057B6F"/>
    <w:rsid w:val="00060366"/>
    <w:rsid w:val="00060B0A"/>
    <w:rsid w:val="00060DF7"/>
    <w:rsid w:val="0006140D"/>
    <w:rsid w:val="0006180D"/>
    <w:rsid w:val="00061FF5"/>
    <w:rsid w:val="00062755"/>
    <w:rsid w:val="00062E11"/>
    <w:rsid w:val="000630F5"/>
    <w:rsid w:val="00063505"/>
    <w:rsid w:val="00063944"/>
    <w:rsid w:val="00063B9C"/>
    <w:rsid w:val="00064358"/>
    <w:rsid w:val="00064AD9"/>
    <w:rsid w:val="00064D7A"/>
    <w:rsid w:val="0006547C"/>
    <w:rsid w:val="00065584"/>
    <w:rsid w:val="00065812"/>
    <w:rsid w:val="00065D31"/>
    <w:rsid w:val="00066BE8"/>
    <w:rsid w:val="000672AD"/>
    <w:rsid w:val="000675B8"/>
    <w:rsid w:val="0006769A"/>
    <w:rsid w:val="000676D0"/>
    <w:rsid w:val="0006778A"/>
    <w:rsid w:val="00070AE0"/>
    <w:rsid w:val="00070C17"/>
    <w:rsid w:val="00071BF0"/>
    <w:rsid w:val="00071EA3"/>
    <w:rsid w:val="00071EC2"/>
    <w:rsid w:val="00072934"/>
    <w:rsid w:val="000729E6"/>
    <w:rsid w:val="000733B3"/>
    <w:rsid w:val="0007387E"/>
    <w:rsid w:val="0007591B"/>
    <w:rsid w:val="000762DA"/>
    <w:rsid w:val="00076592"/>
    <w:rsid w:val="00077198"/>
    <w:rsid w:val="00077C2A"/>
    <w:rsid w:val="00080072"/>
    <w:rsid w:val="00080233"/>
    <w:rsid w:val="00080242"/>
    <w:rsid w:val="00080FA6"/>
    <w:rsid w:val="00081000"/>
    <w:rsid w:val="0008105F"/>
    <w:rsid w:val="0008151E"/>
    <w:rsid w:val="000820F7"/>
    <w:rsid w:val="00082322"/>
    <w:rsid w:val="000823C7"/>
    <w:rsid w:val="000825C4"/>
    <w:rsid w:val="000828AD"/>
    <w:rsid w:val="00083109"/>
    <w:rsid w:val="000848B4"/>
    <w:rsid w:val="0008547E"/>
    <w:rsid w:val="00085BB5"/>
    <w:rsid w:val="00085FC6"/>
    <w:rsid w:val="0008679A"/>
    <w:rsid w:val="000902E4"/>
    <w:rsid w:val="00090560"/>
    <w:rsid w:val="00090597"/>
    <w:rsid w:val="00090635"/>
    <w:rsid w:val="00090687"/>
    <w:rsid w:val="00090CDD"/>
    <w:rsid w:val="00090D75"/>
    <w:rsid w:val="000910B6"/>
    <w:rsid w:val="000912DF"/>
    <w:rsid w:val="000914EE"/>
    <w:rsid w:val="000919B1"/>
    <w:rsid w:val="00091B94"/>
    <w:rsid w:val="00091D8C"/>
    <w:rsid w:val="00091E7B"/>
    <w:rsid w:val="0009220D"/>
    <w:rsid w:val="00092530"/>
    <w:rsid w:val="00093E35"/>
    <w:rsid w:val="00093E6D"/>
    <w:rsid w:val="00093FA5"/>
    <w:rsid w:val="00094604"/>
    <w:rsid w:val="00094B7B"/>
    <w:rsid w:val="0009515F"/>
    <w:rsid w:val="00095847"/>
    <w:rsid w:val="00095854"/>
    <w:rsid w:val="0009611A"/>
    <w:rsid w:val="00096ABE"/>
    <w:rsid w:val="00096DD7"/>
    <w:rsid w:val="000970AC"/>
    <w:rsid w:val="00097595"/>
    <w:rsid w:val="00097A49"/>
    <w:rsid w:val="00097AB3"/>
    <w:rsid w:val="000A08BC"/>
    <w:rsid w:val="000A08D2"/>
    <w:rsid w:val="000A0F7E"/>
    <w:rsid w:val="000A107F"/>
    <w:rsid w:val="000A16B7"/>
    <w:rsid w:val="000A1AF9"/>
    <w:rsid w:val="000A368D"/>
    <w:rsid w:val="000A4F81"/>
    <w:rsid w:val="000A53D1"/>
    <w:rsid w:val="000A56A2"/>
    <w:rsid w:val="000A5C56"/>
    <w:rsid w:val="000A62B6"/>
    <w:rsid w:val="000A6ACA"/>
    <w:rsid w:val="000A6E17"/>
    <w:rsid w:val="000A75E0"/>
    <w:rsid w:val="000A7EA2"/>
    <w:rsid w:val="000B089F"/>
    <w:rsid w:val="000B0BD8"/>
    <w:rsid w:val="000B1438"/>
    <w:rsid w:val="000B1481"/>
    <w:rsid w:val="000B1487"/>
    <w:rsid w:val="000B166D"/>
    <w:rsid w:val="000B18CA"/>
    <w:rsid w:val="000B1F4D"/>
    <w:rsid w:val="000B2876"/>
    <w:rsid w:val="000B2AFD"/>
    <w:rsid w:val="000B2FFD"/>
    <w:rsid w:val="000B32CB"/>
    <w:rsid w:val="000B39F7"/>
    <w:rsid w:val="000B3D28"/>
    <w:rsid w:val="000B3E60"/>
    <w:rsid w:val="000B41D1"/>
    <w:rsid w:val="000B440C"/>
    <w:rsid w:val="000B47D0"/>
    <w:rsid w:val="000B4E23"/>
    <w:rsid w:val="000B5852"/>
    <w:rsid w:val="000B5CEF"/>
    <w:rsid w:val="000B5DEF"/>
    <w:rsid w:val="000B6480"/>
    <w:rsid w:val="000B6654"/>
    <w:rsid w:val="000B66E8"/>
    <w:rsid w:val="000B6B4F"/>
    <w:rsid w:val="000B6BB3"/>
    <w:rsid w:val="000B6BF8"/>
    <w:rsid w:val="000B77F4"/>
    <w:rsid w:val="000B7DD5"/>
    <w:rsid w:val="000B7F87"/>
    <w:rsid w:val="000C0881"/>
    <w:rsid w:val="000C22D9"/>
    <w:rsid w:val="000C2493"/>
    <w:rsid w:val="000C2BAF"/>
    <w:rsid w:val="000C3963"/>
    <w:rsid w:val="000C40DC"/>
    <w:rsid w:val="000C4116"/>
    <w:rsid w:val="000C4F16"/>
    <w:rsid w:val="000C4FD0"/>
    <w:rsid w:val="000C5677"/>
    <w:rsid w:val="000C650E"/>
    <w:rsid w:val="000C69DE"/>
    <w:rsid w:val="000C6A03"/>
    <w:rsid w:val="000C7122"/>
    <w:rsid w:val="000C7A44"/>
    <w:rsid w:val="000C7C6B"/>
    <w:rsid w:val="000C7E9C"/>
    <w:rsid w:val="000D016D"/>
    <w:rsid w:val="000D15E1"/>
    <w:rsid w:val="000D1A57"/>
    <w:rsid w:val="000D2101"/>
    <w:rsid w:val="000D24F3"/>
    <w:rsid w:val="000D2A9E"/>
    <w:rsid w:val="000D305D"/>
    <w:rsid w:val="000D3D29"/>
    <w:rsid w:val="000D62BA"/>
    <w:rsid w:val="000D6390"/>
    <w:rsid w:val="000D64D3"/>
    <w:rsid w:val="000D6B47"/>
    <w:rsid w:val="000D6C40"/>
    <w:rsid w:val="000D747D"/>
    <w:rsid w:val="000D748F"/>
    <w:rsid w:val="000D7587"/>
    <w:rsid w:val="000D78F1"/>
    <w:rsid w:val="000E01BE"/>
    <w:rsid w:val="000E0596"/>
    <w:rsid w:val="000E10C8"/>
    <w:rsid w:val="000E1457"/>
    <w:rsid w:val="000E18FD"/>
    <w:rsid w:val="000E2093"/>
    <w:rsid w:val="000E219E"/>
    <w:rsid w:val="000E2234"/>
    <w:rsid w:val="000E243D"/>
    <w:rsid w:val="000E2BA7"/>
    <w:rsid w:val="000E3376"/>
    <w:rsid w:val="000E3FDE"/>
    <w:rsid w:val="000E45A9"/>
    <w:rsid w:val="000E4750"/>
    <w:rsid w:val="000E4C0D"/>
    <w:rsid w:val="000E5B32"/>
    <w:rsid w:val="000E5DCF"/>
    <w:rsid w:val="000E68D9"/>
    <w:rsid w:val="000E695A"/>
    <w:rsid w:val="000E7244"/>
    <w:rsid w:val="000E77B0"/>
    <w:rsid w:val="000E7C22"/>
    <w:rsid w:val="000F0292"/>
    <w:rsid w:val="000F03B4"/>
    <w:rsid w:val="000F0474"/>
    <w:rsid w:val="000F1382"/>
    <w:rsid w:val="000F14AB"/>
    <w:rsid w:val="000F16AD"/>
    <w:rsid w:val="000F1C36"/>
    <w:rsid w:val="000F1DC9"/>
    <w:rsid w:val="000F2875"/>
    <w:rsid w:val="000F3AD8"/>
    <w:rsid w:val="000F4372"/>
    <w:rsid w:val="000F4560"/>
    <w:rsid w:val="000F4D5E"/>
    <w:rsid w:val="000F552D"/>
    <w:rsid w:val="000F5648"/>
    <w:rsid w:val="000F5A6D"/>
    <w:rsid w:val="000F5C62"/>
    <w:rsid w:val="000F5C92"/>
    <w:rsid w:val="000F6673"/>
    <w:rsid w:val="000F69F1"/>
    <w:rsid w:val="000F6A12"/>
    <w:rsid w:val="000F76C5"/>
    <w:rsid w:val="000F7721"/>
    <w:rsid w:val="000F7AD6"/>
    <w:rsid w:val="00100561"/>
    <w:rsid w:val="00101428"/>
    <w:rsid w:val="00101D40"/>
    <w:rsid w:val="00101DBC"/>
    <w:rsid w:val="001020A5"/>
    <w:rsid w:val="001024F2"/>
    <w:rsid w:val="001027D6"/>
    <w:rsid w:val="00102A28"/>
    <w:rsid w:val="00102CE5"/>
    <w:rsid w:val="00103223"/>
    <w:rsid w:val="00103D50"/>
    <w:rsid w:val="00103D85"/>
    <w:rsid w:val="00104123"/>
    <w:rsid w:val="00104EDD"/>
    <w:rsid w:val="001055B3"/>
    <w:rsid w:val="001059BB"/>
    <w:rsid w:val="00105FEC"/>
    <w:rsid w:val="001063D8"/>
    <w:rsid w:val="001063F9"/>
    <w:rsid w:val="00106B16"/>
    <w:rsid w:val="00106B2C"/>
    <w:rsid w:val="00107098"/>
    <w:rsid w:val="00107B36"/>
    <w:rsid w:val="001104C5"/>
    <w:rsid w:val="0011066F"/>
    <w:rsid w:val="00111E2C"/>
    <w:rsid w:val="00111F2E"/>
    <w:rsid w:val="00111F3A"/>
    <w:rsid w:val="001127EF"/>
    <w:rsid w:val="001129AC"/>
    <w:rsid w:val="00112D0A"/>
    <w:rsid w:val="00112DC1"/>
    <w:rsid w:val="00112EF2"/>
    <w:rsid w:val="00112F43"/>
    <w:rsid w:val="00112F74"/>
    <w:rsid w:val="001141AE"/>
    <w:rsid w:val="0011434D"/>
    <w:rsid w:val="00114C6C"/>
    <w:rsid w:val="00114CF6"/>
    <w:rsid w:val="00115392"/>
    <w:rsid w:val="0011545E"/>
    <w:rsid w:val="00115797"/>
    <w:rsid w:val="00115B86"/>
    <w:rsid w:val="00115BA4"/>
    <w:rsid w:val="00115D1D"/>
    <w:rsid w:val="0011668D"/>
    <w:rsid w:val="001168D9"/>
    <w:rsid w:val="00116A50"/>
    <w:rsid w:val="00116E53"/>
    <w:rsid w:val="00117198"/>
    <w:rsid w:val="001177B3"/>
    <w:rsid w:val="00117A9E"/>
    <w:rsid w:val="00117CAD"/>
    <w:rsid w:val="001200B8"/>
    <w:rsid w:val="00120BF0"/>
    <w:rsid w:val="001211EF"/>
    <w:rsid w:val="0012121A"/>
    <w:rsid w:val="0012190B"/>
    <w:rsid w:val="001222E5"/>
    <w:rsid w:val="00122A54"/>
    <w:rsid w:val="0012320F"/>
    <w:rsid w:val="001243B6"/>
    <w:rsid w:val="00124550"/>
    <w:rsid w:val="00124C41"/>
    <w:rsid w:val="00124E2B"/>
    <w:rsid w:val="00126375"/>
    <w:rsid w:val="0012671C"/>
    <w:rsid w:val="00130057"/>
    <w:rsid w:val="00130538"/>
    <w:rsid w:val="00130DC1"/>
    <w:rsid w:val="00130DF2"/>
    <w:rsid w:val="001310BF"/>
    <w:rsid w:val="00131294"/>
    <w:rsid w:val="001316C0"/>
    <w:rsid w:val="00131A15"/>
    <w:rsid w:val="00131B77"/>
    <w:rsid w:val="00131D7E"/>
    <w:rsid w:val="001323F2"/>
    <w:rsid w:val="00132430"/>
    <w:rsid w:val="001327B7"/>
    <w:rsid w:val="0013280A"/>
    <w:rsid w:val="00132B6B"/>
    <w:rsid w:val="00132C78"/>
    <w:rsid w:val="00132D64"/>
    <w:rsid w:val="00132EEC"/>
    <w:rsid w:val="00132FFA"/>
    <w:rsid w:val="00133807"/>
    <w:rsid w:val="001341AC"/>
    <w:rsid w:val="0013422E"/>
    <w:rsid w:val="00134357"/>
    <w:rsid w:val="001349C3"/>
    <w:rsid w:val="00135331"/>
    <w:rsid w:val="001357BC"/>
    <w:rsid w:val="00135F80"/>
    <w:rsid w:val="001362EE"/>
    <w:rsid w:val="00136D63"/>
    <w:rsid w:val="00136F46"/>
    <w:rsid w:val="0013758D"/>
    <w:rsid w:val="00140082"/>
    <w:rsid w:val="0014024E"/>
    <w:rsid w:val="00140675"/>
    <w:rsid w:val="001406C8"/>
    <w:rsid w:val="001409C1"/>
    <w:rsid w:val="001415DE"/>
    <w:rsid w:val="00141DEC"/>
    <w:rsid w:val="001423B1"/>
    <w:rsid w:val="00142582"/>
    <w:rsid w:val="0014280E"/>
    <w:rsid w:val="00142FEB"/>
    <w:rsid w:val="001431DA"/>
    <w:rsid w:val="0014381B"/>
    <w:rsid w:val="00143CBA"/>
    <w:rsid w:val="001448C0"/>
    <w:rsid w:val="001450D9"/>
    <w:rsid w:val="001451A1"/>
    <w:rsid w:val="00145A24"/>
    <w:rsid w:val="00145A2A"/>
    <w:rsid w:val="00145FB4"/>
    <w:rsid w:val="00146023"/>
    <w:rsid w:val="00146440"/>
    <w:rsid w:val="00146670"/>
    <w:rsid w:val="00146832"/>
    <w:rsid w:val="00147021"/>
    <w:rsid w:val="0014735C"/>
    <w:rsid w:val="001473C3"/>
    <w:rsid w:val="00147618"/>
    <w:rsid w:val="00147CA6"/>
    <w:rsid w:val="00150837"/>
    <w:rsid w:val="001512BB"/>
    <w:rsid w:val="001514A5"/>
    <w:rsid w:val="00151833"/>
    <w:rsid w:val="00151F01"/>
    <w:rsid w:val="001539BD"/>
    <w:rsid w:val="00153A2B"/>
    <w:rsid w:val="00153D29"/>
    <w:rsid w:val="00154922"/>
    <w:rsid w:val="001564B0"/>
    <w:rsid w:val="0015671A"/>
    <w:rsid w:val="00157D67"/>
    <w:rsid w:val="001603FF"/>
    <w:rsid w:val="001609AC"/>
    <w:rsid w:val="00160AB4"/>
    <w:rsid w:val="00160FA2"/>
    <w:rsid w:val="00161FF2"/>
    <w:rsid w:val="00162658"/>
    <w:rsid w:val="0016328E"/>
    <w:rsid w:val="00163552"/>
    <w:rsid w:val="0016356F"/>
    <w:rsid w:val="00163D14"/>
    <w:rsid w:val="0016409D"/>
    <w:rsid w:val="00164FA7"/>
    <w:rsid w:val="00165621"/>
    <w:rsid w:val="0016585E"/>
    <w:rsid w:val="00165D4D"/>
    <w:rsid w:val="001660E9"/>
    <w:rsid w:val="0016612C"/>
    <w:rsid w:val="001662F0"/>
    <w:rsid w:val="001664E2"/>
    <w:rsid w:val="001666CC"/>
    <w:rsid w:val="00167B15"/>
    <w:rsid w:val="001700C1"/>
    <w:rsid w:val="00170759"/>
    <w:rsid w:val="00170944"/>
    <w:rsid w:val="00170CE6"/>
    <w:rsid w:val="0017106A"/>
    <w:rsid w:val="001711E6"/>
    <w:rsid w:val="001719C0"/>
    <w:rsid w:val="00171FF2"/>
    <w:rsid w:val="00172129"/>
    <w:rsid w:val="00172B4A"/>
    <w:rsid w:val="00172F1D"/>
    <w:rsid w:val="0017372C"/>
    <w:rsid w:val="00173B79"/>
    <w:rsid w:val="00173FA1"/>
    <w:rsid w:val="00174569"/>
    <w:rsid w:val="001749B4"/>
    <w:rsid w:val="00175379"/>
    <w:rsid w:val="001755C2"/>
    <w:rsid w:val="00176245"/>
    <w:rsid w:val="0017680C"/>
    <w:rsid w:val="00176B9C"/>
    <w:rsid w:val="0017743E"/>
    <w:rsid w:val="0017745E"/>
    <w:rsid w:val="001775B5"/>
    <w:rsid w:val="0017794A"/>
    <w:rsid w:val="00177AB2"/>
    <w:rsid w:val="00177EFA"/>
    <w:rsid w:val="00177F50"/>
    <w:rsid w:val="00180260"/>
    <w:rsid w:val="001802E5"/>
    <w:rsid w:val="00181586"/>
    <w:rsid w:val="00181D58"/>
    <w:rsid w:val="00182C66"/>
    <w:rsid w:val="00182E15"/>
    <w:rsid w:val="001830C0"/>
    <w:rsid w:val="001832DC"/>
    <w:rsid w:val="00183578"/>
    <w:rsid w:val="00184411"/>
    <w:rsid w:val="0018453A"/>
    <w:rsid w:val="00184707"/>
    <w:rsid w:val="00184C43"/>
    <w:rsid w:val="00185802"/>
    <w:rsid w:val="00185AB0"/>
    <w:rsid w:val="00185B66"/>
    <w:rsid w:val="00185C4E"/>
    <w:rsid w:val="001863A6"/>
    <w:rsid w:val="001863C2"/>
    <w:rsid w:val="001872B6"/>
    <w:rsid w:val="0018779A"/>
    <w:rsid w:val="0018796A"/>
    <w:rsid w:val="001879DB"/>
    <w:rsid w:val="00190274"/>
    <w:rsid w:val="001902E5"/>
    <w:rsid w:val="00190789"/>
    <w:rsid w:val="001908EA"/>
    <w:rsid w:val="00190A1C"/>
    <w:rsid w:val="001911A3"/>
    <w:rsid w:val="00191508"/>
    <w:rsid w:val="0019154A"/>
    <w:rsid w:val="001918F5"/>
    <w:rsid w:val="00193940"/>
    <w:rsid w:val="00193CEF"/>
    <w:rsid w:val="00193E90"/>
    <w:rsid w:val="001948D0"/>
    <w:rsid w:val="00194B7C"/>
    <w:rsid w:val="00194C15"/>
    <w:rsid w:val="001953D9"/>
    <w:rsid w:val="00195458"/>
    <w:rsid w:val="00195B98"/>
    <w:rsid w:val="0019605E"/>
    <w:rsid w:val="00196F2C"/>
    <w:rsid w:val="0019734C"/>
    <w:rsid w:val="001973A2"/>
    <w:rsid w:val="00197B5D"/>
    <w:rsid w:val="00197DA8"/>
    <w:rsid w:val="00197F35"/>
    <w:rsid w:val="00197F4B"/>
    <w:rsid w:val="00197FCE"/>
    <w:rsid w:val="001A0728"/>
    <w:rsid w:val="001A0932"/>
    <w:rsid w:val="001A09A7"/>
    <w:rsid w:val="001A0A61"/>
    <w:rsid w:val="001A0BF0"/>
    <w:rsid w:val="001A0C9E"/>
    <w:rsid w:val="001A104C"/>
    <w:rsid w:val="001A1106"/>
    <w:rsid w:val="001A14A9"/>
    <w:rsid w:val="001A235D"/>
    <w:rsid w:val="001A2377"/>
    <w:rsid w:val="001A2772"/>
    <w:rsid w:val="001A2DA6"/>
    <w:rsid w:val="001A2E5E"/>
    <w:rsid w:val="001A3033"/>
    <w:rsid w:val="001A3147"/>
    <w:rsid w:val="001A32D9"/>
    <w:rsid w:val="001A34CC"/>
    <w:rsid w:val="001A390C"/>
    <w:rsid w:val="001A4751"/>
    <w:rsid w:val="001A4DAD"/>
    <w:rsid w:val="001A5239"/>
    <w:rsid w:val="001A567F"/>
    <w:rsid w:val="001A5C45"/>
    <w:rsid w:val="001A5E9B"/>
    <w:rsid w:val="001A6402"/>
    <w:rsid w:val="001A7377"/>
    <w:rsid w:val="001A7A8F"/>
    <w:rsid w:val="001B0AA7"/>
    <w:rsid w:val="001B15C4"/>
    <w:rsid w:val="001B16FD"/>
    <w:rsid w:val="001B23BD"/>
    <w:rsid w:val="001B31DB"/>
    <w:rsid w:val="001B33FC"/>
    <w:rsid w:val="001B36AD"/>
    <w:rsid w:val="001B36FC"/>
    <w:rsid w:val="001B39C9"/>
    <w:rsid w:val="001B431E"/>
    <w:rsid w:val="001B4539"/>
    <w:rsid w:val="001B4609"/>
    <w:rsid w:val="001B4A2C"/>
    <w:rsid w:val="001B4D86"/>
    <w:rsid w:val="001B5AFC"/>
    <w:rsid w:val="001B5E7B"/>
    <w:rsid w:val="001B6280"/>
    <w:rsid w:val="001B6515"/>
    <w:rsid w:val="001B7628"/>
    <w:rsid w:val="001B7C27"/>
    <w:rsid w:val="001B7D1F"/>
    <w:rsid w:val="001C002E"/>
    <w:rsid w:val="001C0865"/>
    <w:rsid w:val="001C1D69"/>
    <w:rsid w:val="001C224F"/>
    <w:rsid w:val="001C2931"/>
    <w:rsid w:val="001C31F2"/>
    <w:rsid w:val="001C3421"/>
    <w:rsid w:val="001C35CA"/>
    <w:rsid w:val="001C3E6E"/>
    <w:rsid w:val="001C4A10"/>
    <w:rsid w:val="001C50CE"/>
    <w:rsid w:val="001C5EB7"/>
    <w:rsid w:val="001C6161"/>
    <w:rsid w:val="001C7838"/>
    <w:rsid w:val="001D015E"/>
    <w:rsid w:val="001D0634"/>
    <w:rsid w:val="001D0702"/>
    <w:rsid w:val="001D0BDA"/>
    <w:rsid w:val="001D13F0"/>
    <w:rsid w:val="001D175D"/>
    <w:rsid w:val="001D1B56"/>
    <w:rsid w:val="001D268A"/>
    <w:rsid w:val="001D2C28"/>
    <w:rsid w:val="001D36FF"/>
    <w:rsid w:val="001D4164"/>
    <w:rsid w:val="001D4423"/>
    <w:rsid w:val="001D4984"/>
    <w:rsid w:val="001D4B9E"/>
    <w:rsid w:val="001D50A3"/>
    <w:rsid w:val="001D51E9"/>
    <w:rsid w:val="001D59C8"/>
    <w:rsid w:val="001D5A98"/>
    <w:rsid w:val="001D5EF4"/>
    <w:rsid w:val="001D6711"/>
    <w:rsid w:val="001D6738"/>
    <w:rsid w:val="001D6A74"/>
    <w:rsid w:val="001D6C4C"/>
    <w:rsid w:val="001D6C8D"/>
    <w:rsid w:val="001D7062"/>
    <w:rsid w:val="001D78CF"/>
    <w:rsid w:val="001D7F92"/>
    <w:rsid w:val="001E0033"/>
    <w:rsid w:val="001E01D2"/>
    <w:rsid w:val="001E038B"/>
    <w:rsid w:val="001E03F0"/>
    <w:rsid w:val="001E079B"/>
    <w:rsid w:val="001E0883"/>
    <w:rsid w:val="001E0EBE"/>
    <w:rsid w:val="001E11C7"/>
    <w:rsid w:val="001E2148"/>
    <w:rsid w:val="001E2878"/>
    <w:rsid w:val="001E297A"/>
    <w:rsid w:val="001E2D94"/>
    <w:rsid w:val="001E33A0"/>
    <w:rsid w:val="001E3417"/>
    <w:rsid w:val="001E38CB"/>
    <w:rsid w:val="001E394D"/>
    <w:rsid w:val="001E45F9"/>
    <w:rsid w:val="001E48F8"/>
    <w:rsid w:val="001E4901"/>
    <w:rsid w:val="001E5185"/>
    <w:rsid w:val="001E5BF1"/>
    <w:rsid w:val="001E5FA7"/>
    <w:rsid w:val="001E60E1"/>
    <w:rsid w:val="001E63B8"/>
    <w:rsid w:val="001E6632"/>
    <w:rsid w:val="001E6BFA"/>
    <w:rsid w:val="001E7012"/>
    <w:rsid w:val="001E701C"/>
    <w:rsid w:val="001E7247"/>
    <w:rsid w:val="001E763E"/>
    <w:rsid w:val="001E7DD5"/>
    <w:rsid w:val="001F0547"/>
    <w:rsid w:val="001F07D8"/>
    <w:rsid w:val="001F0BBF"/>
    <w:rsid w:val="001F0BDA"/>
    <w:rsid w:val="001F0C37"/>
    <w:rsid w:val="001F226A"/>
    <w:rsid w:val="001F23F2"/>
    <w:rsid w:val="001F2EE9"/>
    <w:rsid w:val="001F3A1D"/>
    <w:rsid w:val="001F3DB0"/>
    <w:rsid w:val="001F4B3D"/>
    <w:rsid w:val="001F4DC7"/>
    <w:rsid w:val="001F5668"/>
    <w:rsid w:val="001F5AA6"/>
    <w:rsid w:val="001F5F19"/>
    <w:rsid w:val="001F67D7"/>
    <w:rsid w:val="001F6BC1"/>
    <w:rsid w:val="001F725B"/>
    <w:rsid w:val="001F749A"/>
    <w:rsid w:val="001F7B8C"/>
    <w:rsid w:val="002002C4"/>
    <w:rsid w:val="00200641"/>
    <w:rsid w:val="00200C7C"/>
    <w:rsid w:val="0020244A"/>
    <w:rsid w:val="002024CF"/>
    <w:rsid w:val="00202B54"/>
    <w:rsid w:val="00202F60"/>
    <w:rsid w:val="00203E55"/>
    <w:rsid w:val="00203E8D"/>
    <w:rsid w:val="00204C02"/>
    <w:rsid w:val="00204DF6"/>
    <w:rsid w:val="00205DC3"/>
    <w:rsid w:val="00205F72"/>
    <w:rsid w:val="00205FA1"/>
    <w:rsid w:val="002060E3"/>
    <w:rsid w:val="00206351"/>
    <w:rsid w:val="002066B0"/>
    <w:rsid w:val="00206AD7"/>
    <w:rsid w:val="00206E91"/>
    <w:rsid w:val="0020717B"/>
    <w:rsid w:val="00207C33"/>
    <w:rsid w:val="00210683"/>
    <w:rsid w:val="00210838"/>
    <w:rsid w:val="002109F3"/>
    <w:rsid w:val="0021107F"/>
    <w:rsid w:val="002111EB"/>
    <w:rsid w:val="0021147A"/>
    <w:rsid w:val="002116E2"/>
    <w:rsid w:val="00211EE2"/>
    <w:rsid w:val="002127B3"/>
    <w:rsid w:val="00213436"/>
    <w:rsid w:val="00213553"/>
    <w:rsid w:val="0021392D"/>
    <w:rsid w:val="00213AAE"/>
    <w:rsid w:val="00213C7E"/>
    <w:rsid w:val="00214487"/>
    <w:rsid w:val="002152F5"/>
    <w:rsid w:val="00217216"/>
    <w:rsid w:val="00217876"/>
    <w:rsid w:val="00217F95"/>
    <w:rsid w:val="0022074F"/>
    <w:rsid w:val="0022147D"/>
    <w:rsid w:val="0022198B"/>
    <w:rsid w:val="002228ED"/>
    <w:rsid w:val="00222E2E"/>
    <w:rsid w:val="002230E2"/>
    <w:rsid w:val="00224AAB"/>
    <w:rsid w:val="00224B93"/>
    <w:rsid w:val="00225145"/>
    <w:rsid w:val="002253D7"/>
    <w:rsid w:val="002257D3"/>
    <w:rsid w:val="002259A3"/>
    <w:rsid w:val="00226610"/>
    <w:rsid w:val="00226705"/>
    <w:rsid w:val="00226EAC"/>
    <w:rsid w:val="0022709E"/>
    <w:rsid w:val="00227A9A"/>
    <w:rsid w:val="00227B40"/>
    <w:rsid w:val="00227ED3"/>
    <w:rsid w:val="002301A8"/>
    <w:rsid w:val="00230562"/>
    <w:rsid w:val="002306F3"/>
    <w:rsid w:val="00230F7B"/>
    <w:rsid w:val="00230FB8"/>
    <w:rsid w:val="0023135B"/>
    <w:rsid w:val="00231E7F"/>
    <w:rsid w:val="002324B6"/>
    <w:rsid w:val="00233638"/>
    <w:rsid w:val="00233710"/>
    <w:rsid w:val="00233CD1"/>
    <w:rsid w:val="00234A61"/>
    <w:rsid w:val="002350DF"/>
    <w:rsid w:val="00235265"/>
    <w:rsid w:val="00235A3B"/>
    <w:rsid w:val="00235B8A"/>
    <w:rsid w:val="002360DE"/>
    <w:rsid w:val="002364BA"/>
    <w:rsid w:val="00237035"/>
    <w:rsid w:val="002370CB"/>
    <w:rsid w:val="002372F9"/>
    <w:rsid w:val="002378CB"/>
    <w:rsid w:val="00240C78"/>
    <w:rsid w:val="00240E9B"/>
    <w:rsid w:val="002410B0"/>
    <w:rsid w:val="00241261"/>
    <w:rsid w:val="002418AA"/>
    <w:rsid w:val="00241976"/>
    <w:rsid w:val="00241F7A"/>
    <w:rsid w:val="002440BF"/>
    <w:rsid w:val="00244698"/>
    <w:rsid w:val="0024497D"/>
    <w:rsid w:val="00244C0B"/>
    <w:rsid w:val="002451B6"/>
    <w:rsid w:val="002458D8"/>
    <w:rsid w:val="00245A09"/>
    <w:rsid w:val="00245B04"/>
    <w:rsid w:val="00245CCA"/>
    <w:rsid w:val="00245E60"/>
    <w:rsid w:val="002464EC"/>
    <w:rsid w:val="002467EE"/>
    <w:rsid w:val="00246EB6"/>
    <w:rsid w:val="00246FA8"/>
    <w:rsid w:val="002475E7"/>
    <w:rsid w:val="002479E6"/>
    <w:rsid w:val="00247A68"/>
    <w:rsid w:val="002501C7"/>
    <w:rsid w:val="00250522"/>
    <w:rsid w:val="00250630"/>
    <w:rsid w:val="00250B9C"/>
    <w:rsid w:val="00250C52"/>
    <w:rsid w:val="00251088"/>
    <w:rsid w:val="002517D2"/>
    <w:rsid w:val="002518CC"/>
    <w:rsid w:val="00251A37"/>
    <w:rsid w:val="00252090"/>
    <w:rsid w:val="00252968"/>
    <w:rsid w:val="00252BE2"/>
    <w:rsid w:val="0025336B"/>
    <w:rsid w:val="002543D4"/>
    <w:rsid w:val="0025456B"/>
    <w:rsid w:val="00254BB9"/>
    <w:rsid w:val="00256329"/>
    <w:rsid w:val="002569B0"/>
    <w:rsid w:val="00256CEB"/>
    <w:rsid w:val="002572D5"/>
    <w:rsid w:val="002574EF"/>
    <w:rsid w:val="00257567"/>
    <w:rsid w:val="00257AB5"/>
    <w:rsid w:val="00260460"/>
    <w:rsid w:val="00260C04"/>
    <w:rsid w:val="0026146E"/>
    <w:rsid w:val="0026262D"/>
    <w:rsid w:val="002628AF"/>
    <w:rsid w:val="00262A34"/>
    <w:rsid w:val="00263BA9"/>
    <w:rsid w:val="00264076"/>
    <w:rsid w:val="0026423A"/>
    <w:rsid w:val="0026492C"/>
    <w:rsid w:val="002660FD"/>
    <w:rsid w:val="002662FB"/>
    <w:rsid w:val="00266F3D"/>
    <w:rsid w:val="00267438"/>
    <w:rsid w:val="00270AD6"/>
    <w:rsid w:val="00270DC5"/>
    <w:rsid w:val="0027143B"/>
    <w:rsid w:val="00271A7B"/>
    <w:rsid w:val="00271B41"/>
    <w:rsid w:val="00271EE8"/>
    <w:rsid w:val="0027248A"/>
    <w:rsid w:val="00272910"/>
    <w:rsid w:val="00272A3E"/>
    <w:rsid w:val="00273B7F"/>
    <w:rsid w:val="002740C0"/>
    <w:rsid w:val="0027431A"/>
    <w:rsid w:val="00274AD3"/>
    <w:rsid w:val="00274B1B"/>
    <w:rsid w:val="00275B73"/>
    <w:rsid w:val="00275BA7"/>
    <w:rsid w:val="00275CD2"/>
    <w:rsid w:val="002769D5"/>
    <w:rsid w:val="00276DC2"/>
    <w:rsid w:val="00277380"/>
    <w:rsid w:val="00277488"/>
    <w:rsid w:val="00277603"/>
    <w:rsid w:val="00277870"/>
    <w:rsid w:val="00277C2D"/>
    <w:rsid w:val="00277E02"/>
    <w:rsid w:val="00280F76"/>
    <w:rsid w:val="002810AF"/>
    <w:rsid w:val="00281209"/>
    <w:rsid w:val="00281449"/>
    <w:rsid w:val="002823C4"/>
    <w:rsid w:val="002824F0"/>
    <w:rsid w:val="0028271A"/>
    <w:rsid w:val="002829C1"/>
    <w:rsid w:val="00282CF6"/>
    <w:rsid w:val="0028328B"/>
    <w:rsid w:val="00283740"/>
    <w:rsid w:val="0028441F"/>
    <w:rsid w:val="002851A6"/>
    <w:rsid w:val="00285962"/>
    <w:rsid w:val="00285D66"/>
    <w:rsid w:val="0028608B"/>
    <w:rsid w:val="0028687C"/>
    <w:rsid w:val="00287382"/>
    <w:rsid w:val="00287FD4"/>
    <w:rsid w:val="00290002"/>
    <w:rsid w:val="0029030A"/>
    <w:rsid w:val="002903ED"/>
    <w:rsid w:val="00290BB9"/>
    <w:rsid w:val="00290C44"/>
    <w:rsid w:val="00290E41"/>
    <w:rsid w:val="00290F20"/>
    <w:rsid w:val="00291242"/>
    <w:rsid w:val="00291424"/>
    <w:rsid w:val="002915C6"/>
    <w:rsid w:val="00291745"/>
    <w:rsid w:val="00291E4E"/>
    <w:rsid w:val="0029209F"/>
    <w:rsid w:val="00292610"/>
    <w:rsid w:val="00292ADE"/>
    <w:rsid w:val="00292F3C"/>
    <w:rsid w:val="00292FB3"/>
    <w:rsid w:val="00293066"/>
    <w:rsid w:val="002932C1"/>
    <w:rsid w:val="00293B96"/>
    <w:rsid w:val="00293E82"/>
    <w:rsid w:val="0029404A"/>
    <w:rsid w:val="0029414B"/>
    <w:rsid w:val="002943BF"/>
    <w:rsid w:val="00294FDA"/>
    <w:rsid w:val="0029531C"/>
    <w:rsid w:val="002957A5"/>
    <w:rsid w:val="00296349"/>
    <w:rsid w:val="00296DBB"/>
    <w:rsid w:val="002A0497"/>
    <w:rsid w:val="002A0821"/>
    <w:rsid w:val="002A0B0D"/>
    <w:rsid w:val="002A0E76"/>
    <w:rsid w:val="002A1721"/>
    <w:rsid w:val="002A194C"/>
    <w:rsid w:val="002A2050"/>
    <w:rsid w:val="002A20F9"/>
    <w:rsid w:val="002A234F"/>
    <w:rsid w:val="002A2487"/>
    <w:rsid w:val="002A39DC"/>
    <w:rsid w:val="002A4500"/>
    <w:rsid w:val="002A48C2"/>
    <w:rsid w:val="002A4FAB"/>
    <w:rsid w:val="002A5032"/>
    <w:rsid w:val="002A5263"/>
    <w:rsid w:val="002A5292"/>
    <w:rsid w:val="002A5442"/>
    <w:rsid w:val="002A583C"/>
    <w:rsid w:val="002A5D48"/>
    <w:rsid w:val="002A645B"/>
    <w:rsid w:val="002A72C0"/>
    <w:rsid w:val="002A7436"/>
    <w:rsid w:val="002A7550"/>
    <w:rsid w:val="002A7732"/>
    <w:rsid w:val="002A7C48"/>
    <w:rsid w:val="002A7FB6"/>
    <w:rsid w:val="002B059F"/>
    <w:rsid w:val="002B0A9E"/>
    <w:rsid w:val="002B1691"/>
    <w:rsid w:val="002B1A1E"/>
    <w:rsid w:val="002B1A6E"/>
    <w:rsid w:val="002B1CB7"/>
    <w:rsid w:val="002B1FBF"/>
    <w:rsid w:val="002B2002"/>
    <w:rsid w:val="002B218B"/>
    <w:rsid w:val="002B2988"/>
    <w:rsid w:val="002B2EC6"/>
    <w:rsid w:val="002B30D6"/>
    <w:rsid w:val="002B393C"/>
    <w:rsid w:val="002B39D0"/>
    <w:rsid w:val="002B3EC0"/>
    <w:rsid w:val="002B449B"/>
    <w:rsid w:val="002B5206"/>
    <w:rsid w:val="002B58CC"/>
    <w:rsid w:val="002B6000"/>
    <w:rsid w:val="002B6E12"/>
    <w:rsid w:val="002B6FE8"/>
    <w:rsid w:val="002B72F0"/>
    <w:rsid w:val="002B7681"/>
    <w:rsid w:val="002B76CE"/>
    <w:rsid w:val="002B7CD7"/>
    <w:rsid w:val="002C014A"/>
    <w:rsid w:val="002C077A"/>
    <w:rsid w:val="002C1D4A"/>
    <w:rsid w:val="002C2004"/>
    <w:rsid w:val="002C2705"/>
    <w:rsid w:val="002C2745"/>
    <w:rsid w:val="002C3256"/>
    <w:rsid w:val="002C369F"/>
    <w:rsid w:val="002C3B70"/>
    <w:rsid w:val="002C43DA"/>
    <w:rsid w:val="002C4446"/>
    <w:rsid w:val="002C4B5C"/>
    <w:rsid w:val="002C4D40"/>
    <w:rsid w:val="002C5305"/>
    <w:rsid w:val="002C5506"/>
    <w:rsid w:val="002C5AAD"/>
    <w:rsid w:val="002C5F39"/>
    <w:rsid w:val="002C6790"/>
    <w:rsid w:val="002C696F"/>
    <w:rsid w:val="002C6F1C"/>
    <w:rsid w:val="002C71F4"/>
    <w:rsid w:val="002C758D"/>
    <w:rsid w:val="002C7D4D"/>
    <w:rsid w:val="002D0AD9"/>
    <w:rsid w:val="002D0FDB"/>
    <w:rsid w:val="002D15E6"/>
    <w:rsid w:val="002D1BD4"/>
    <w:rsid w:val="002D1F75"/>
    <w:rsid w:val="002D2453"/>
    <w:rsid w:val="002D2A8C"/>
    <w:rsid w:val="002D2BE5"/>
    <w:rsid w:val="002D2BF0"/>
    <w:rsid w:val="002D2C21"/>
    <w:rsid w:val="002D2C73"/>
    <w:rsid w:val="002D30BB"/>
    <w:rsid w:val="002D37CC"/>
    <w:rsid w:val="002D3926"/>
    <w:rsid w:val="002D3AE7"/>
    <w:rsid w:val="002D3CAC"/>
    <w:rsid w:val="002D3F58"/>
    <w:rsid w:val="002D444A"/>
    <w:rsid w:val="002D4706"/>
    <w:rsid w:val="002D4C9A"/>
    <w:rsid w:val="002D53CE"/>
    <w:rsid w:val="002D5691"/>
    <w:rsid w:val="002D59A3"/>
    <w:rsid w:val="002D61A8"/>
    <w:rsid w:val="002D6269"/>
    <w:rsid w:val="002D630D"/>
    <w:rsid w:val="002D6861"/>
    <w:rsid w:val="002D72E9"/>
    <w:rsid w:val="002D7380"/>
    <w:rsid w:val="002D78BB"/>
    <w:rsid w:val="002E010F"/>
    <w:rsid w:val="002E07B9"/>
    <w:rsid w:val="002E0D60"/>
    <w:rsid w:val="002E148C"/>
    <w:rsid w:val="002E15C7"/>
    <w:rsid w:val="002E1781"/>
    <w:rsid w:val="002E1E42"/>
    <w:rsid w:val="002E20B6"/>
    <w:rsid w:val="002E22ED"/>
    <w:rsid w:val="002E2435"/>
    <w:rsid w:val="002E3333"/>
    <w:rsid w:val="002E37DC"/>
    <w:rsid w:val="002E472D"/>
    <w:rsid w:val="002E5188"/>
    <w:rsid w:val="002E52C7"/>
    <w:rsid w:val="002E5815"/>
    <w:rsid w:val="002E586A"/>
    <w:rsid w:val="002E58F0"/>
    <w:rsid w:val="002E5CA2"/>
    <w:rsid w:val="002E5EFC"/>
    <w:rsid w:val="002E5FE6"/>
    <w:rsid w:val="002E6BB7"/>
    <w:rsid w:val="002E6CEB"/>
    <w:rsid w:val="002E7284"/>
    <w:rsid w:val="002E7917"/>
    <w:rsid w:val="002E7A6B"/>
    <w:rsid w:val="002E7F8E"/>
    <w:rsid w:val="002F0D3D"/>
    <w:rsid w:val="002F10E2"/>
    <w:rsid w:val="002F13B9"/>
    <w:rsid w:val="002F1A28"/>
    <w:rsid w:val="002F1A80"/>
    <w:rsid w:val="002F21AE"/>
    <w:rsid w:val="002F25AF"/>
    <w:rsid w:val="002F29AA"/>
    <w:rsid w:val="002F2BCC"/>
    <w:rsid w:val="002F2C99"/>
    <w:rsid w:val="002F3814"/>
    <w:rsid w:val="002F3DFB"/>
    <w:rsid w:val="002F43FA"/>
    <w:rsid w:val="002F49F8"/>
    <w:rsid w:val="002F54E9"/>
    <w:rsid w:val="002F57D3"/>
    <w:rsid w:val="002F612A"/>
    <w:rsid w:val="002F6635"/>
    <w:rsid w:val="002F6960"/>
    <w:rsid w:val="002F73FA"/>
    <w:rsid w:val="002F7812"/>
    <w:rsid w:val="00300020"/>
    <w:rsid w:val="003005F6"/>
    <w:rsid w:val="003006AC"/>
    <w:rsid w:val="003006D8"/>
    <w:rsid w:val="00300F40"/>
    <w:rsid w:val="003011B9"/>
    <w:rsid w:val="0030153D"/>
    <w:rsid w:val="00301BA4"/>
    <w:rsid w:val="00301D8D"/>
    <w:rsid w:val="00301FD0"/>
    <w:rsid w:val="00302208"/>
    <w:rsid w:val="00302656"/>
    <w:rsid w:val="003027DE"/>
    <w:rsid w:val="00302965"/>
    <w:rsid w:val="00302ED5"/>
    <w:rsid w:val="003030E7"/>
    <w:rsid w:val="0030310C"/>
    <w:rsid w:val="0030315C"/>
    <w:rsid w:val="003035A4"/>
    <w:rsid w:val="003036F7"/>
    <w:rsid w:val="00303745"/>
    <w:rsid w:val="00303F9F"/>
    <w:rsid w:val="003040E2"/>
    <w:rsid w:val="00304667"/>
    <w:rsid w:val="00304680"/>
    <w:rsid w:val="00304A8B"/>
    <w:rsid w:val="00304D51"/>
    <w:rsid w:val="0030516D"/>
    <w:rsid w:val="00305230"/>
    <w:rsid w:val="00305724"/>
    <w:rsid w:val="0030584B"/>
    <w:rsid w:val="0030674D"/>
    <w:rsid w:val="00306F54"/>
    <w:rsid w:val="00306FF1"/>
    <w:rsid w:val="003073E3"/>
    <w:rsid w:val="00307B24"/>
    <w:rsid w:val="00310798"/>
    <w:rsid w:val="0031097B"/>
    <w:rsid w:val="00311439"/>
    <w:rsid w:val="003119CB"/>
    <w:rsid w:val="00311F0B"/>
    <w:rsid w:val="00312167"/>
    <w:rsid w:val="00313F2B"/>
    <w:rsid w:val="0031428C"/>
    <w:rsid w:val="003146DA"/>
    <w:rsid w:val="00314BF1"/>
    <w:rsid w:val="00314FDD"/>
    <w:rsid w:val="00315E06"/>
    <w:rsid w:val="00315FD8"/>
    <w:rsid w:val="0031750F"/>
    <w:rsid w:val="00317BE0"/>
    <w:rsid w:val="003202B3"/>
    <w:rsid w:val="003210C9"/>
    <w:rsid w:val="003211A3"/>
    <w:rsid w:val="003212E1"/>
    <w:rsid w:val="00321510"/>
    <w:rsid w:val="003224B2"/>
    <w:rsid w:val="00323414"/>
    <w:rsid w:val="00323B19"/>
    <w:rsid w:val="0032496E"/>
    <w:rsid w:val="00324979"/>
    <w:rsid w:val="00324A71"/>
    <w:rsid w:val="00324EE5"/>
    <w:rsid w:val="00325B45"/>
    <w:rsid w:val="003261FA"/>
    <w:rsid w:val="003262D2"/>
    <w:rsid w:val="0032670B"/>
    <w:rsid w:val="003268F9"/>
    <w:rsid w:val="00327634"/>
    <w:rsid w:val="003305CF"/>
    <w:rsid w:val="00330670"/>
    <w:rsid w:val="0033073F"/>
    <w:rsid w:val="003308F9"/>
    <w:rsid w:val="00330B9E"/>
    <w:rsid w:val="00330E23"/>
    <w:rsid w:val="00330FC6"/>
    <w:rsid w:val="003314C1"/>
    <w:rsid w:val="0033157C"/>
    <w:rsid w:val="00331596"/>
    <w:rsid w:val="0033271F"/>
    <w:rsid w:val="00332AFD"/>
    <w:rsid w:val="003331CC"/>
    <w:rsid w:val="00333591"/>
    <w:rsid w:val="00333650"/>
    <w:rsid w:val="0033367C"/>
    <w:rsid w:val="00333A4A"/>
    <w:rsid w:val="00334210"/>
    <w:rsid w:val="00334C09"/>
    <w:rsid w:val="0033504D"/>
    <w:rsid w:val="00335D7D"/>
    <w:rsid w:val="00336051"/>
    <w:rsid w:val="00336227"/>
    <w:rsid w:val="0033674B"/>
    <w:rsid w:val="00336B82"/>
    <w:rsid w:val="0034037E"/>
    <w:rsid w:val="00340B6A"/>
    <w:rsid w:val="00340E85"/>
    <w:rsid w:val="0034107E"/>
    <w:rsid w:val="00341327"/>
    <w:rsid w:val="003419D2"/>
    <w:rsid w:val="0034204B"/>
    <w:rsid w:val="003421EA"/>
    <w:rsid w:val="00342828"/>
    <w:rsid w:val="00342D0B"/>
    <w:rsid w:val="003434B8"/>
    <w:rsid w:val="00343691"/>
    <w:rsid w:val="003439CC"/>
    <w:rsid w:val="00344629"/>
    <w:rsid w:val="00345A8A"/>
    <w:rsid w:val="00345C29"/>
    <w:rsid w:val="00345C75"/>
    <w:rsid w:val="00345D7C"/>
    <w:rsid w:val="003461E1"/>
    <w:rsid w:val="00346929"/>
    <w:rsid w:val="0034726E"/>
    <w:rsid w:val="0034772D"/>
    <w:rsid w:val="00347ADA"/>
    <w:rsid w:val="003500D4"/>
    <w:rsid w:val="00350300"/>
    <w:rsid w:val="00350483"/>
    <w:rsid w:val="003504FE"/>
    <w:rsid w:val="003514F7"/>
    <w:rsid w:val="0035150A"/>
    <w:rsid w:val="003526C9"/>
    <w:rsid w:val="00352F1F"/>
    <w:rsid w:val="00353164"/>
    <w:rsid w:val="00353A8D"/>
    <w:rsid w:val="00353DDE"/>
    <w:rsid w:val="00354143"/>
    <w:rsid w:val="00354CF1"/>
    <w:rsid w:val="003552CF"/>
    <w:rsid w:val="00355452"/>
    <w:rsid w:val="003559A4"/>
    <w:rsid w:val="00355A5F"/>
    <w:rsid w:val="00355B2B"/>
    <w:rsid w:val="0035600F"/>
    <w:rsid w:val="003564F8"/>
    <w:rsid w:val="00356842"/>
    <w:rsid w:val="003569BE"/>
    <w:rsid w:val="00356EF2"/>
    <w:rsid w:val="00357A1C"/>
    <w:rsid w:val="00357A9F"/>
    <w:rsid w:val="00357DE0"/>
    <w:rsid w:val="003606EB"/>
    <w:rsid w:val="00360E0B"/>
    <w:rsid w:val="003614FB"/>
    <w:rsid w:val="00361511"/>
    <w:rsid w:val="00361751"/>
    <w:rsid w:val="003620F0"/>
    <w:rsid w:val="00362187"/>
    <w:rsid w:val="003629BB"/>
    <w:rsid w:val="00362B0F"/>
    <w:rsid w:val="00362CD3"/>
    <w:rsid w:val="0036301A"/>
    <w:rsid w:val="0036308D"/>
    <w:rsid w:val="00363C6F"/>
    <w:rsid w:val="00363CA9"/>
    <w:rsid w:val="0036422A"/>
    <w:rsid w:val="003643FA"/>
    <w:rsid w:val="003646B0"/>
    <w:rsid w:val="0036529A"/>
    <w:rsid w:val="003658F6"/>
    <w:rsid w:val="00365A93"/>
    <w:rsid w:val="0036658C"/>
    <w:rsid w:val="0036698A"/>
    <w:rsid w:val="00366EFF"/>
    <w:rsid w:val="00367418"/>
    <w:rsid w:val="00367517"/>
    <w:rsid w:val="00367B09"/>
    <w:rsid w:val="003701CC"/>
    <w:rsid w:val="00371A2E"/>
    <w:rsid w:val="00372800"/>
    <w:rsid w:val="00372E3A"/>
    <w:rsid w:val="00372F97"/>
    <w:rsid w:val="0037305C"/>
    <w:rsid w:val="00373319"/>
    <w:rsid w:val="003736DA"/>
    <w:rsid w:val="00373D46"/>
    <w:rsid w:val="00374E8D"/>
    <w:rsid w:val="00374F3B"/>
    <w:rsid w:val="00375116"/>
    <w:rsid w:val="00375714"/>
    <w:rsid w:val="00375B84"/>
    <w:rsid w:val="00375C5F"/>
    <w:rsid w:val="00375DDA"/>
    <w:rsid w:val="00376045"/>
    <w:rsid w:val="0037628C"/>
    <w:rsid w:val="0037666D"/>
    <w:rsid w:val="00376EAA"/>
    <w:rsid w:val="00377535"/>
    <w:rsid w:val="00377AF2"/>
    <w:rsid w:val="00377DBC"/>
    <w:rsid w:val="00377FDF"/>
    <w:rsid w:val="003802E3"/>
    <w:rsid w:val="003803B9"/>
    <w:rsid w:val="003804F6"/>
    <w:rsid w:val="0038070C"/>
    <w:rsid w:val="003810F8"/>
    <w:rsid w:val="003812BD"/>
    <w:rsid w:val="00381AEB"/>
    <w:rsid w:val="00381CBE"/>
    <w:rsid w:val="00382903"/>
    <w:rsid w:val="0038322B"/>
    <w:rsid w:val="003832A6"/>
    <w:rsid w:val="00383797"/>
    <w:rsid w:val="003838AC"/>
    <w:rsid w:val="00385570"/>
    <w:rsid w:val="003858F7"/>
    <w:rsid w:val="00386157"/>
    <w:rsid w:val="003869A4"/>
    <w:rsid w:val="00387139"/>
    <w:rsid w:val="0038719E"/>
    <w:rsid w:val="00387296"/>
    <w:rsid w:val="0038767D"/>
    <w:rsid w:val="003876F0"/>
    <w:rsid w:val="0038780D"/>
    <w:rsid w:val="00390812"/>
    <w:rsid w:val="00390F6F"/>
    <w:rsid w:val="003910A8"/>
    <w:rsid w:val="0039132D"/>
    <w:rsid w:val="00391C06"/>
    <w:rsid w:val="003924C9"/>
    <w:rsid w:val="0039267C"/>
    <w:rsid w:val="003926E8"/>
    <w:rsid w:val="003928AC"/>
    <w:rsid w:val="00392C85"/>
    <w:rsid w:val="00393391"/>
    <w:rsid w:val="00393938"/>
    <w:rsid w:val="003942F0"/>
    <w:rsid w:val="00394651"/>
    <w:rsid w:val="00395053"/>
    <w:rsid w:val="00395E42"/>
    <w:rsid w:val="00396BEA"/>
    <w:rsid w:val="00396D64"/>
    <w:rsid w:val="00397314"/>
    <w:rsid w:val="003A0011"/>
    <w:rsid w:val="003A00A2"/>
    <w:rsid w:val="003A0851"/>
    <w:rsid w:val="003A092F"/>
    <w:rsid w:val="003A0C0B"/>
    <w:rsid w:val="003A1F90"/>
    <w:rsid w:val="003A201D"/>
    <w:rsid w:val="003A230E"/>
    <w:rsid w:val="003A2751"/>
    <w:rsid w:val="003A2E6E"/>
    <w:rsid w:val="003A36B6"/>
    <w:rsid w:val="003A3F51"/>
    <w:rsid w:val="003A43B6"/>
    <w:rsid w:val="003A43DB"/>
    <w:rsid w:val="003A4A32"/>
    <w:rsid w:val="003A4D07"/>
    <w:rsid w:val="003A50FB"/>
    <w:rsid w:val="003A559F"/>
    <w:rsid w:val="003A5AD8"/>
    <w:rsid w:val="003A616D"/>
    <w:rsid w:val="003A633B"/>
    <w:rsid w:val="003A6A11"/>
    <w:rsid w:val="003A6EBF"/>
    <w:rsid w:val="003A70A6"/>
    <w:rsid w:val="003A7C2E"/>
    <w:rsid w:val="003B0295"/>
    <w:rsid w:val="003B099C"/>
    <w:rsid w:val="003B0FCB"/>
    <w:rsid w:val="003B1982"/>
    <w:rsid w:val="003B1B77"/>
    <w:rsid w:val="003B1D1D"/>
    <w:rsid w:val="003B1D78"/>
    <w:rsid w:val="003B2766"/>
    <w:rsid w:val="003B30C5"/>
    <w:rsid w:val="003B3A4E"/>
    <w:rsid w:val="003B3A6F"/>
    <w:rsid w:val="003B3D8A"/>
    <w:rsid w:val="003B4235"/>
    <w:rsid w:val="003B44A6"/>
    <w:rsid w:val="003B4796"/>
    <w:rsid w:val="003B4B47"/>
    <w:rsid w:val="003B588D"/>
    <w:rsid w:val="003B5B55"/>
    <w:rsid w:val="003B5B6C"/>
    <w:rsid w:val="003B5F45"/>
    <w:rsid w:val="003B63EA"/>
    <w:rsid w:val="003C055E"/>
    <w:rsid w:val="003C0FD2"/>
    <w:rsid w:val="003C22BE"/>
    <w:rsid w:val="003C2536"/>
    <w:rsid w:val="003C3889"/>
    <w:rsid w:val="003C41DA"/>
    <w:rsid w:val="003C48B2"/>
    <w:rsid w:val="003C548F"/>
    <w:rsid w:val="003C5EA0"/>
    <w:rsid w:val="003C6667"/>
    <w:rsid w:val="003C6D3B"/>
    <w:rsid w:val="003C75B6"/>
    <w:rsid w:val="003C771A"/>
    <w:rsid w:val="003C7C79"/>
    <w:rsid w:val="003C7F43"/>
    <w:rsid w:val="003D01A8"/>
    <w:rsid w:val="003D05DB"/>
    <w:rsid w:val="003D0782"/>
    <w:rsid w:val="003D0879"/>
    <w:rsid w:val="003D08D6"/>
    <w:rsid w:val="003D0993"/>
    <w:rsid w:val="003D11F6"/>
    <w:rsid w:val="003D1BA8"/>
    <w:rsid w:val="003D1D15"/>
    <w:rsid w:val="003D289A"/>
    <w:rsid w:val="003D2A18"/>
    <w:rsid w:val="003D2E5D"/>
    <w:rsid w:val="003D2F2C"/>
    <w:rsid w:val="003D3756"/>
    <w:rsid w:val="003D3B31"/>
    <w:rsid w:val="003D3C3F"/>
    <w:rsid w:val="003D4138"/>
    <w:rsid w:val="003D41DB"/>
    <w:rsid w:val="003D4825"/>
    <w:rsid w:val="003D4D3A"/>
    <w:rsid w:val="003D54E1"/>
    <w:rsid w:val="003D57CB"/>
    <w:rsid w:val="003D6505"/>
    <w:rsid w:val="003D66C5"/>
    <w:rsid w:val="003D6CEA"/>
    <w:rsid w:val="003D7003"/>
    <w:rsid w:val="003D70D4"/>
    <w:rsid w:val="003D7670"/>
    <w:rsid w:val="003D7B5E"/>
    <w:rsid w:val="003E0832"/>
    <w:rsid w:val="003E0B3A"/>
    <w:rsid w:val="003E0EB3"/>
    <w:rsid w:val="003E1228"/>
    <w:rsid w:val="003E1836"/>
    <w:rsid w:val="003E1FAC"/>
    <w:rsid w:val="003E2554"/>
    <w:rsid w:val="003E29C7"/>
    <w:rsid w:val="003E2E42"/>
    <w:rsid w:val="003E308F"/>
    <w:rsid w:val="003E333F"/>
    <w:rsid w:val="003E38D1"/>
    <w:rsid w:val="003E4278"/>
    <w:rsid w:val="003E43BE"/>
    <w:rsid w:val="003E4557"/>
    <w:rsid w:val="003E4901"/>
    <w:rsid w:val="003E51FC"/>
    <w:rsid w:val="003E52A4"/>
    <w:rsid w:val="003E5AB5"/>
    <w:rsid w:val="003E5D10"/>
    <w:rsid w:val="003E71C9"/>
    <w:rsid w:val="003E74C5"/>
    <w:rsid w:val="003E7F3F"/>
    <w:rsid w:val="003F00CF"/>
    <w:rsid w:val="003F0519"/>
    <w:rsid w:val="003F0818"/>
    <w:rsid w:val="003F0952"/>
    <w:rsid w:val="003F0A69"/>
    <w:rsid w:val="003F0C32"/>
    <w:rsid w:val="003F10FB"/>
    <w:rsid w:val="003F1307"/>
    <w:rsid w:val="003F134F"/>
    <w:rsid w:val="003F1651"/>
    <w:rsid w:val="003F21C1"/>
    <w:rsid w:val="003F27E4"/>
    <w:rsid w:val="003F29A0"/>
    <w:rsid w:val="003F29D2"/>
    <w:rsid w:val="003F3B40"/>
    <w:rsid w:val="003F3BB9"/>
    <w:rsid w:val="003F4826"/>
    <w:rsid w:val="003F4F7E"/>
    <w:rsid w:val="003F6197"/>
    <w:rsid w:val="003F61B6"/>
    <w:rsid w:val="003F6201"/>
    <w:rsid w:val="003F6222"/>
    <w:rsid w:val="003F6973"/>
    <w:rsid w:val="003F73E6"/>
    <w:rsid w:val="003F744B"/>
    <w:rsid w:val="003F74C0"/>
    <w:rsid w:val="003F7B46"/>
    <w:rsid w:val="003F7C01"/>
    <w:rsid w:val="004000B0"/>
    <w:rsid w:val="00401170"/>
    <w:rsid w:val="00401E07"/>
    <w:rsid w:val="00401F06"/>
    <w:rsid w:val="00401FF7"/>
    <w:rsid w:val="00402164"/>
    <w:rsid w:val="00402E2E"/>
    <w:rsid w:val="00403AA3"/>
    <w:rsid w:val="00403BBA"/>
    <w:rsid w:val="00404568"/>
    <w:rsid w:val="00405074"/>
    <w:rsid w:val="00405D30"/>
    <w:rsid w:val="00406358"/>
    <w:rsid w:val="0040640A"/>
    <w:rsid w:val="00406807"/>
    <w:rsid w:val="00406A68"/>
    <w:rsid w:val="00406F3B"/>
    <w:rsid w:val="0040756B"/>
    <w:rsid w:val="00407E1B"/>
    <w:rsid w:val="00410818"/>
    <w:rsid w:val="00410875"/>
    <w:rsid w:val="00410A8F"/>
    <w:rsid w:val="00410C21"/>
    <w:rsid w:val="00410E26"/>
    <w:rsid w:val="00412761"/>
    <w:rsid w:val="00413483"/>
    <w:rsid w:val="0041351D"/>
    <w:rsid w:val="004135C7"/>
    <w:rsid w:val="00413DA5"/>
    <w:rsid w:val="00413FEE"/>
    <w:rsid w:val="004142E9"/>
    <w:rsid w:val="00414314"/>
    <w:rsid w:val="0041460A"/>
    <w:rsid w:val="00416790"/>
    <w:rsid w:val="004167FA"/>
    <w:rsid w:val="00416C45"/>
    <w:rsid w:val="0041773F"/>
    <w:rsid w:val="004200A2"/>
    <w:rsid w:val="004200DC"/>
    <w:rsid w:val="00420FF7"/>
    <w:rsid w:val="0042146F"/>
    <w:rsid w:val="00421C4E"/>
    <w:rsid w:val="00421C8F"/>
    <w:rsid w:val="00421DA8"/>
    <w:rsid w:val="00422CEA"/>
    <w:rsid w:val="00422D6D"/>
    <w:rsid w:val="004233D9"/>
    <w:rsid w:val="00423AA7"/>
    <w:rsid w:val="004247F6"/>
    <w:rsid w:val="00424BC4"/>
    <w:rsid w:val="00425053"/>
    <w:rsid w:val="004270E4"/>
    <w:rsid w:val="00427EED"/>
    <w:rsid w:val="00430C26"/>
    <w:rsid w:val="004315E4"/>
    <w:rsid w:val="00431D38"/>
    <w:rsid w:val="00431DCE"/>
    <w:rsid w:val="004322EB"/>
    <w:rsid w:val="004324DC"/>
    <w:rsid w:val="00432881"/>
    <w:rsid w:val="00432B02"/>
    <w:rsid w:val="00432B65"/>
    <w:rsid w:val="00432FEF"/>
    <w:rsid w:val="00433A06"/>
    <w:rsid w:val="00433C5D"/>
    <w:rsid w:val="00434767"/>
    <w:rsid w:val="004348EF"/>
    <w:rsid w:val="00435753"/>
    <w:rsid w:val="0043577B"/>
    <w:rsid w:val="00435966"/>
    <w:rsid w:val="00436083"/>
    <w:rsid w:val="00436095"/>
    <w:rsid w:val="004363C2"/>
    <w:rsid w:val="00436B2C"/>
    <w:rsid w:val="004372E7"/>
    <w:rsid w:val="00437449"/>
    <w:rsid w:val="004374A6"/>
    <w:rsid w:val="0043783A"/>
    <w:rsid w:val="00437AFA"/>
    <w:rsid w:val="0044069F"/>
    <w:rsid w:val="00441020"/>
    <w:rsid w:val="004412AF"/>
    <w:rsid w:val="0044135B"/>
    <w:rsid w:val="0044189B"/>
    <w:rsid w:val="00441F99"/>
    <w:rsid w:val="004421BE"/>
    <w:rsid w:val="004437C6"/>
    <w:rsid w:val="00443B50"/>
    <w:rsid w:val="00443BF6"/>
    <w:rsid w:val="00443D0E"/>
    <w:rsid w:val="0044474C"/>
    <w:rsid w:val="00444ACE"/>
    <w:rsid w:val="00444ADD"/>
    <w:rsid w:val="00444D57"/>
    <w:rsid w:val="0044501A"/>
    <w:rsid w:val="0044508F"/>
    <w:rsid w:val="0044559C"/>
    <w:rsid w:val="004456B0"/>
    <w:rsid w:val="004457F6"/>
    <w:rsid w:val="00445C47"/>
    <w:rsid w:val="0044607C"/>
    <w:rsid w:val="004467D9"/>
    <w:rsid w:val="00446A79"/>
    <w:rsid w:val="00450539"/>
    <w:rsid w:val="00450632"/>
    <w:rsid w:val="0045071E"/>
    <w:rsid w:val="004509C6"/>
    <w:rsid w:val="0045134C"/>
    <w:rsid w:val="004515CE"/>
    <w:rsid w:val="004515F3"/>
    <w:rsid w:val="00451A1B"/>
    <w:rsid w:val="00451CC9"/>
    <w:rsid w:val="004525B0"/>
    <w:rsid w:val="00453034"/>
    <w:rsid w:val="00453270"/>
    <w:rsid w:val="004536B3"/>
    <w:rsid w:val="004537F0"/>
    <w:rsid w:val="00453818"/>
    <w:rsid w:val="004538C4"/>
    <w:rsid w:val="00453B67"/>
    <w:rsid w:val="00453D6B"/>
    <w:rsid w:val="004545A7"/>
    <w:rsid w:val="004547B7"/>
    <w:rsid w:val="00455424"/>
    <w:rsid w:val="00455951"/>
    <w:rsid w:val="00457D29"/>
    <w:rsid w:val="00460646"/>
    <w:rsid w:val="00460DD9"/>
    <w:rsid w:val="00461645"/>
    <w:rsid w:val="00461A61"/>
    <w:rsid w:val="00461F02"/>
    <w:rsid w:val="00462488"/>
    <w:rsid w:val="00462B55"/>
    <w:rsid w:val="0046307B"/>
    <w:rsid w:val="0046347D"/>
    <w:rsid w:val="0046384E"/>
    <w:rsid w:val="0046441E"/>
    <w:rsid w:val="004654B3"/>
    <w:rsid w:val="00466153"/>
    <w:rsid w:val="0046629F"/>
    <w:rsid w:val="004662DE"/>
    <w:rsid w:val="0046662B"/>
    <w:rsid w:val="0046716D"/>
    <w:rsid w:val="004672BF"/>
    <w:rsid w:val="0046779D"/>
    <w:rsid w:val="004703B2"/>
    <w:rsid w:val="0047096D"/>
    <w:rsid w:val="00471D67"/>
    <w:rsid w:val="004725E0"/>
    <w:rsid w:val="004736C7"/>
    <w:rsid w:val="00473AE8"/>
    <w:rsid w:val="00473CC8"/>
    <w:rsid w:val="004746ED"/>
    <w:rsid w:val="00475253"/>
    <w:rsid w:val="0047531C"/>
    <w:rsid w:val="004757A8"/>
    <w:rsid w:val="00475873"/>
    <w:rsid w:val="004759A2"/>
    <w:rsid w:val="00475BB2"/>
    <w:rsid w:val="0047608B"/>
    <w:rsid w:val="004772C4"/>
    <w:rsid w:val="0047740E"/>
    <w:rsid w:val="00477684"/>
    <w:rsid w:val="00480247"/>
    <w:rsid w:val="0048051B"/>
    <w:rsid w:val="00480A6E"/>
    <w:rsid w:val="00480B6F"/>
    <w:rsid w:val="00480CDD"/>
    <w:rsid w:val="004810F2"/>
    <w:rsid w:val="0048114B"/>
    <w:rsid w:val="004817F2"/>
    <w:rsid w:val="00481BE1"/>
    <w:rsid w:val="00481C67"/>
    <w:rsid w:val="00482374"/>
    <w:rsid w:val="004826C0"/>
    <w:rsid w:val="00483518"/>
    <w:rsid w:val="0048371D"/>
    <w:rsid w:val="0048375D"/>
    <w:rsid w:val="00483807"/>
    <w:rsid w:val="00483959"/>
    <w:rsid w:val="00483CAF"/>
    <w:rsid w:val="00484125"/>
    <w:rsid w:val="004858DC"/>
    <w:rsid w:val="00485A93"/>
    <w:rsid w:val="00486BE8"/>
    <w:rsid w:val="004871B2"/>
    <w:rsid w:val="00487372"/>
    <w:rsid w:val="004879A0"/>
    <w:rsid w:val="00487C42"/>
    <w:rsid w:val="00487EAE"/>
    <w:rsid w:val="004901A3"/>
    <w:rsid w:val="0049024B"/>
    <w:rsid w:val="0049057C"/>
    <w:rsid w:val="0049059C"/>
    <w:rsid w:val="004917F8"/>
    <w:rsid w:val="004921C2"/>
    <w:rsid w:val="00492AED"/>
    <w:rsid w:val="00492D81"/>
    <w:rsid w:val="00492FFA"/>
    <w:rsid w:val="004932A4"/>
    <w:rsid w:val="004941DB"/>
    <w:rsid w:val="00494AFC"/>
    <w:rsid w:val="00495E32"/>
    <w:rsid w:val="00495F89"/>
    <w:rsid w:val="004960AB"/>
    <w:rsid w:val="004963D9"/>
    <w:rsid w:val="004963F7"/>
    <w:rsid w:val="00496D65"/>
    <w:rsid w:val="004977D4"/>
    <w:rsid w:val="004978C8"/>
    <w:rsid w:val="00497F2F"/>
    <w:rsid w:val="004A0493"/>
    <w:rsid w:val="004A0497"/>
    <w:rsid w:val="004A0930"/>
    <w:rsid w:val="004A0EDF"/>
    <w:rsid w:val="004A1EFC"/>
    <w:rsid w:val="004A26EC"/>
    <w:rsid w:val="004A2A4B"/>
    <w:rsid w:val="004A300B"/>
    <w:rsid w:val="004A30A9"/>
    <w:rsid w:val="004A31B9"/>
    <w:rsid w:val="004A3B2A"/>
    <w:rsid w:val="004A427C"/>
    <w:rsid w:val="004A427F"/>
    <w:rsid w:val="004A4E22"/>
    <w:rsid w:val="004A4EEE"/>
    <w:rsid w:val="004A4FD7"/>
    <w:rsid w:val="004A5219"/>
    <w:rsid w:val="004A5BB8"/>
    <w:rsid w:val="004A5DFD"/>
    <w:rsid w:val="004A6176"/>
    <w:rsid w:val="004A650D"/>
    <w:rsid w:val="004A65F8"/>
    <w:rsid w:val="004A66E5"/>
    <w:rsid w:val="004A674D"/>
    <w:rsid w:val="004A6E66"/>
    <w:rsid w:val="004A7BA7"/>
    <w:rsid w:val="004A7BCA"/>
    <w:rsid w:val="004B06B2"/>
    <w:rsid w:val="004B0CB1"/>
    <w:rsid w:val="004B0FB4"/>
    <w:rsid w:val="004B1056"/>
    <w:rsid w:val="004B10E3"/>
    <w:rsid w:val="004B1193"/>
    <w:rsid w:val="004B17DA"/>
    <w:rsid w:val="004B1CAA"/>
    <w:rsid w:val="004B1FC6"/>
    <w:rsid w:val="004B258A"/>
    <w:rsid w:val="004B3935"/>
    <w:rsid w:val="004B3976"/>
    <w:rsid w:val="004B39C7"/>
    <w:rsid w:val="004B40E2"/>
    <w:rsid w:val="004B45BA"/>
    <w:rsid w:val="004B48B9"/>
    <w:rsid w:val="004B4B82"/>
    <w:rsid w:val="004B4CF1"/>
    <w:rsid w:val="004B57A6"/>
    <w:rsid w:val="004B5D94"/>
    <w:rsid w:val="004B6122"/>
    <w:rsid w:val="004B62DA"/>
    <w:rsid w:val="004B63BE"/>
    <w:rsid w:val="004B697C"/>
    <w:rsid w:val="004B70B2"/>
    <w:rsid w:val="004B7605"/>
    <w:rsid w:val="004B7A39"/>
    <w:rsid w:val="004B7A46"/>
    <w:rsid w:val="004B7CD0"/>
    <w:rsid w:val="004C0855"/>
    <w:rsid w:val="004C0CE7"/>
    <w:rsid w:val="004C1B03"/>
    <w:rsid w:val="004C2570"/>
    <w:rsid w:val="004C2A5A"/>
    <w:rsid w:val="004C2E97"/>
    <w:rsid w:val="004C30A2"/>
    <w:rsid w:val="004C30E2"/>
    <w:rsid w:val="004C3EBC"/>
    <w:rsid w:val="004C4409"/>
    <w:rsid w:val="004C48F0"/>
    <w:rsid w:val="004C4DAD"/>
    <w:rsid w:val="004C5307"/>
    <w:rsid w:val="004C536F"/>
    <w:rsid w:val="004C5E6F"/>
    <w:rsid w:val="004C652C"/>
    <w:rsid w:val="004C6556"/>
    <w:rsid w:val="004C66FC"/>
    <w:rsid w:val="004C6EC0"/>
    <w:rsid w:val="004C6F4C"/>
    <w:rsid w:val="004C71BD"/>
    <w:rsid w:val="004C7E06"/>
    <w:rsid w:val="004C7FC5"/>
    <w:rsid w:val="004D0454"/>
    <w:rsid w:val="004D0711"/>
    <w:rsid w:val="004D0712"/>
    <w:rsid w:val="004D0A7C"/>
    <w:rsid w:val="004D145B"/>
    <w:rsid w:val="004D14A9"/>
    <w:rsid w:val="004D1660"/>
    <w:rsid w:val="004D1E2C"/>
    <w:rsid w:val="004D20B0"/>
    <w:rsid w:val="004D23D2"/>
    <w:rsid w:val="004D2878"/>
    <w:rsid w:val="004D2EB7"/>
    <w:rsid w:val="004D3388"/>
    <w:rsid w:val="004D35E0"/>
    <w:rsid w:val="004D37E6"/>
    <w:rsid w:val="004D3D0B"/>
    <w:rsid w:val="004D416C"/>
    <w:rsid w:val="004D417E"/>
    <w:rsid w:val="004D4633"/>
    <w:rsid w:val="004D46C6"/>
    <w:rsid w:val="004D49CD"/>
    <w:rsid w:val="004D4B2F"/>
    <w:rsid w:val="004D4B67"/>
    <w:rsid w:val="004D4F1A"/>
    <w:rsid w:val="004D5010"/>
    <w:rsid w:val="004D50F8"/>
    <w:rsid w:val="004D5940"/>
    <w:rsid w:val="004D6507"/>
    <w:rsid w:val="004D6A19"/>
    <w:rsid w:val="004E0673"/>
    <w:rsid w:val="004E0C5D"/>
    <w:rsid w:val="004E0D3B"/>
    <w:rsid w:val="004E0F9F"/>
    <w:rsid w:val="004E1EE5"/>
    <w:rsid w:val="004E2008"/>
    <w:rsid w:val="004E21E4"/>
    <w:rsid w:val="004E2459"/>
    <w:rsid w:val="004E245B"/>
    <w:rsid w:val="004E26DB"/>
    <w:rsid w:val="004E27B6"/>
    <w:rsid w:val="004E29D0"/>
    <w:rsid w:val="004E2AF3"/>
    <w:rsid w:val="004E2C91"/>
    <w:rsid w:val="004E3202"/>
    <w:rsid w:val="004E32FD"/>
    <w:rsid w:val="004E33FC"/>
    <w:rsid w:val="004E43FC"/>
    <w:rsid w:val="004E44DD"/>
    <w:rsid w:val="004E4595"/>
    <w:rsid w:val="004E4912"/>
    <w:rsid w:val="004E4E50"/>
    <w:rsid w:val="004E5F46"/>
    <w:rsid w:val="004E6104"/>
    <w:rsid w:val="004E69E7"/>
    <w:rsid w:val="004E6CE3"/>
    <w:rsid w:val="004E71B6"/>
    <w:rsid w:val="004E766C"/>
    <w:rsid w:val="004E7887"/>
    <w:rsid w:val="004E7AC4"/>
    <w:rsid w:val="004E7B83"/>
    <w:rsid w:val="004E7C11"/>
    <w:rsid w:val="004E7DE1"/>
    <w:rsid w:val="004F0737"/>
    <w:rsid w:val="004F2804"/>
    <w:rsid w:val="004F296F"/>
    <w:rsid w:val="004F2F1A"/>
    <w:rsid w:val="004F3127"/>
    <w:rsid w:val="004F35E7"/>
    <w:rsid w:val="004F3862"/>
    <w:rsid w:val="004F3A65"/>
    <w:rsid w:val="004F42CF"/>
    <w:rsid w:val="004F44BB"/>
    <w:rsid w:val="004F5849"/>
    <w:rsid w:val="004F6311"/>
    <w:rsid w:val="004F6FD4"/>
    <w:rsid w:val="004F6FF6"/>
    <w:rsid w:val="004F7099"/>
    <w:rsid w:val="004F72D9"/>
    <w:rsid w:val="004F72E1"/>
    <w:rsid w:val="004F79B4"/>
    <w:rsid w:val="00500479"/>
    <w:rsid w:val="0050082F"/>
    <w:rsid w:val="00500BB0"/>
    <w:rsid w:val="00500F83"/>
    <w:rsid w:val="00501758"/>
    <w:rsid w:val="0050243A"/>
    <w:rsid w:val="00502D7A"/>
    <w:rsid w:val="005038B8"/>
    <w:rsid w:val="00503CB1"/>
    <w:rsid w:val="00503CDC"/>
    <w:rsid w:val="00503DB1"/>
    <w:rsid w:val="0050439B"/>
    <w:rsid w:val="005049D9"/>
    <w:rsid w:val="00504A1D"/>
    <w:rsid w:val="00504BD6"/>
    <w:rsid w:val="005057E8"/>
    <w:rsid w:val="00505A06"/>
    <w:rsid w:val="005064D8"/>
    <w:rsid w:val="00506D27"/>
    <w:rsid w:val="005071D4"/>
    <w:rsid w:val="005072B5"/>
    <w:rsid w:val="005073E8"/>
    <w:rsid w:val="00507557"/>
    <w:rsid w:val="00507650"/>
    <w:rsid w:val="005078F6"/>
    <w:rsid w:val="00507EA9"/>
    <w:rsid w:val="0051073F"/>
    <w:rsid w:val="00510C69"/>
    <w:rsid w:val="00511129"/>
    <w:rsid w:val="00511744"/>
    <w:rsid w:val="00511E0C"/>
    <w:rsid w:val="005120B6"/>
    <w:rsid w:val="005121D3"/>
    <w:rsid w:val="005122A7"/>
    <w:rsid w:val="005129DB"/>
    <w:rsid w:val="00512CAC"/>
    <w:rsid w:val="00512D11"/>
    <w:rsid w:val="00512E16"/>
    <w:rsid w:val="00512EA8"/>
    <w:rsid w:val="0051460A"/>
    <w:rsid w:val="00514B42"/>
    <w:rsid w:val="00514EA8"/>
    <w:rsid w:val="00515069"/>
    <w:rsid w:val="00515C06"/>
    <w:rsid w:val="00516174"/>
    <w:rsid w:val="00516532"/>
    <w:rsid w:val="00516C2B"/>
    <w:rsid w:val="0051701E"/>
    <w:rsid w:val="00517497"/>
    <w:rsid w:val="005175F1"/>
    <w:rsid w:val="005177E5"/>
    <w:rsid w:val="00517AA0"/>
    <w:rsid w:val="00520025"/>
    <w:rsid w:val="005201A2"/>
    <w:rsid w:val="0052052E"/>
    <w:rsid w:val="0052054F"/>
    <w:rsid w:val="00520862"/>
    <w:rsid w:val="00520973"/>
    <w:rsid w:val="005217ED"/>
    <w:rsid w:val="00521922"/>
    <w:rsid w:val="00521BB3"/>
    <w:rsid w:val="00522631"/>
    <w:rsid w:val="00522793"/>
    <w:rsid w:val="0052301E"/>
    <w:rsid w:val="00523735"/>
    <w:rsid w:val="00523757"/>
    <w:rsid w:val="0052392B"/>
    <w:rsid w:val="00524BFF"/>
    <w:rsid w:val="00524C82"/>
    <w:rsid w:val="00524D1F"/>
    <w:rsid w:val="00524E7B"/>
    <w:rsid w:val="005251ED"/>
    <w:rsid w:val="0052524E"/>
    <w:rsid w:val="0052587A"/>
    <w:rsid w:val="00526124"/>
    <w:rsid w:val="00526210"/>
    <w:rsid w:val="00526402"/>
    <w:rsid w:val="005266ED"/>
    <w:rsid w:val="0052670C"/>
    <w:rsid w:val="00526FF8"/>
    <w:rsid w:val="00527D06"/>
    <w:rsid w:val="00527FDF"/>
    <w:rsid w:val="00530239"/>
    <w:rsid w:val="005305F9"/>
    <w:rsid w:val="00530605"/>
    <w:rsid w:val="00530674"/>
    <w:rsid w:val="00530721"/>
    <w:rsid w:val="00530E94"/>
    <w:rsid w:val="005313F4"/>
    <w:rsid w:val="005314D5"/>
    <w:rsid w:val="005320CF"/>
    <w:rsid w:val="00532388"/>
    <w:rsid w:val="00532CB8"/>
    <w:rsid w:val="005330F6"/>
    <w:rsid w:val="00533590"/>
    <w:rsid w:val="00533965"/>
    <w:rsid w:val="00533CC6"/>
    <w:rsid w:val="005345C6"/>
    <w:rsid w:val="0053466D"/>
    <w:rsid w:val="0053492E"/>
    <w:rsid w:val="00534C3B"/>
    <w:rsid w:val="005350E0"/>
    <w:rsid w:val="005355C3"/>
    <w:rsid w:val="00535792"/>
    <w:rsid w:val="005357BA"/>
    <w:rsid w:val="005360CE"/>
    <w:rsid w:val="00536231"/>
    <w:rsid w:val="00536B73"/>
    <w:rsid w:val="00536DBB"/>
    <w:rsid w:val="00536EB9"/>
    <w:rsid w:val="00537A3E"/>
    <w:rsid w:val="00537F1E"/>
    <w:rsid w:val="00540E77"/>
    <w:rsid w:val="00540FF9"/>
    <w:rsid w:val="005410B7"/>
    <w:rsid w:val="005411B6"/>
    <w:rsid w:val="00541565"/>
    <w:rsid w:val="00541AF4"/>
    <w:rsid w:val="00541EF7"/>
    <w:rsid w:val="00542287"/>
    <w:rsid w:val="005423F1"/>
    <w:rsid w:val="005425D9"/>
    <w:rsid w:val="00542FB8"/>
    <w:rsid w:val="00543010"/>
    <w:rsid w:val="00543407"/>
    <w:rsid w:val="005435E5"/>
    <w:rsid w:val="0054444D"/>
    <w:rsid w:val="0054465D"/>
    <w:rsid w:val="00544692"/>
    <w:rsid w:val="00544ABC"/>
    <w:rsid w:val="00544D87"/>
    <w:rsid w:val="005458BB"/>
    <w:rsid w:val="00545D79"/>
    <w:rsid w:val="0054606E"/>
    <w:rsid w:val="005478C3"/>
    <w:rsid w:val="00547A65"/>
    <w:rsid w:val="0055030A"/>
    <w:rsid w:val="0055036C"/>
    <w:rsid w:val="005506E4"/>
    <w:rsid w:val="005508AD"/>
    <w:rsid w:val="00550BCF"/>
    <w:rsid w:val="0055121D"/>
    <w:rsid w:val="00551629"/>
    <w:rsid w:val="00552C23"/>
    <w:rsid w:val="00554034"/>
    <w:rsid w:val="0055403C"/>
    <w:rsid w:val="0055404A"/>
    <w:rsid w:val="00554607"/>
    <w:rsid w:val="00554DDD"/>
    <w:rsid w:val="00555B98"/>
    <w:rsid w:val="0055688A"/>
    <w:rsid w:val="005574B5"/>
    <w:rsid w:val="005574DA"/>
    <w:rsid w:val="0055765C"/>
    <w:rsid w:val="00557F62"/>
    <w:rsid w:val="00560006"/>
    <w:rsid w:val="0056001E"/>
    <w:rsid w:val="005600D2"/>
    <w:rsid w:val="005601B2"/>
    <w:rsid w:val="00560399"/>
    <w:rsid w:val="005606F2"/>
    <w:rsid w:val="00560C70"/>
    <w:rsid w:val="0056106B"/>
    <w:rsid w:val="005611F7"/>
    <w:rsid w:val="005622C3"/>
    <w:rsid w:val="005625C5"/>
    <w:rsid w:val="0056274B"/>
    <w:rsid w:val="0056292C"/>
    <w:rsid w:val="00563928"/>
    <w:rsid w:val="005648DF"/>
    <w:rsid w:val="00564E8F"/>
    <w:rsid w:val="00565462"/>
    <w:rsid w:val="00565C4C"/>
    <w:rsid w:val="00565C8F"/>
    <w:rsid w:val="00565EF0"/>
    <w:rsid w:val="005662AF"/>
    <w:rsid w:val="00566320"/>
    <w:rsid w:val="005668A6"/>
    <w:rsid w:val="00566908"/>
    <w:rsid w:val="00566E95"/>
    <w:rsid w:val="005701B9"/>
    <w:rsid w:val="00570452"/>
    <w:rsid w:val="00570682"/>
    <w:rsid w:val="005708CE"/>
    <w:rsid w:val="00570AE9"/>
    <w:rsid w:val="00571188"/>
    <w:rsid w:val="00571208"/>
    <w:rsid w:val="005716E8"/>
    <w:rsid w:val="0057193B"/>
    <w:rsid w:val="00571AE9"/>
    <w:rsid w:val="00571F8C"/>
    <w:rsid w:val="0057337A"/>
    <w:rsid w:val="00573964"/>
    <w:rsid w:val="005743E6"/>
    <w:rsid w:val="00574C83"/>
    <w:rsid w:val="00574D0D"/>
    <w:rsid w:val="005756B4"/>
    <w:rsid w:val="005757CC"/>
    <w:rsid w:val="00575C44"/>
    <w:rsid w:val="00575D77"/>
    <w:rsid w:val="0057636C"/>
    <w:rsid w:val="00576434"/>
    <w:rsid w:val="00580176"/>
    <w:rsid w:val="0058027A"/>
    <w:rsid w:val="00581002"/>
    <w:rsid w:val="00581D50"/>
    <w:rsid w:val="00581DEF"/>
    <w:rsid w:val="00581E20"/>
    <w:rsid w:val="005828FD"/>
    <w:rsid w:val="00582F27"/>
    <w:rsid w:val="005833CD"/>
    <w:rsid w:val="00583521"/>
    <w:rsid w:val="0058362C"/>
    <w:rsid w:val="00583D10"/>
    <w:rsid w:val="00584138"/>
    <w:rsid w:val="00584599"/>
    <w:rsid w:val="00584A5C"/>
    <w:rsid w:val="00584B62"/>
    <w:rsid w:val="00584C54"/>
    <w:rsid w:val="00585164"/>
    <w:rsid w:val="005857E8"/>
    <w:rsid w:val="005858BB"/>
    <w:rsid w:val="005859FF"/>
    <w:rsid w:val="00585BA8"/>
    <w:rsid w:val="0058609A"/>
    <w:rsid w:val="0058635C"/>
    <w:rsid w:val="00586750"/>
    <w:rsid w:val="00586AB2"/>
    <w:rsid w:val="00587AEF"/>
    <w:rsid w:val="00587E7A"/>
    <w:rsid w:val="00590AB3"/>
    <w:rsid w:val="00590E83"/>
    <w:rsid w:val="00591BE5"/>
    <w:rsid w:val="00592474"/>
    <w:rsid w:val="005924F6"/>
    <w:rsid w:val="00592B5F"/>
    <w:rsid w:val="00592D71"/>
    <w:rsid w:val="00592D95"/>
    <w:rsid w:val="005930A4"/>
    <w:rsid w:val="0059360F"/>
    <w:rsid w:val="005937DA"/>
    <w:rsid w:val="00593C05"/>
    <w:rsid w:val="00594963"/>
    <w:rsid w:val="00594DC2"/>
    <w:rsid w:val="0059528C"/>
    <w:rsid w:val="00595304"/>
    <w:rsid w:val="005954F8"/>
    <w:rsid w:val="00595BE8"/>
    <w:rsid w:val="00595E22"/>
    <w:rsid w:val="005962CD"/>
    <w:rsid w:val="00596534"/>
    <w:rsid w:val="005966D8"/>
    <w:rsid w:val="00596918"/>
    <w:rsid w:val="00596D42"/>
    <w:rsid w:val="00597306"/>
    <w:rsid w:val="00597643"/>
    <w:rsid w:val="005977A2"/>
    <w:rsid w:val="005A039C"/>
    <w:rsid w:val="005A03FE"/>
    <w:rsid w:val="005A08E4"/>
    <w:rsid w:val="005A1165"/>
    <w:rsid w:val="005A1448"/>
    <w:rsid w:val="005A176D"/>
    <w:rsid w:val="005A1CB3"/>
    <w:rsid w:val="005A1FC4"/>
    <w:rsid w:val="005A2CA3"/>
    <w:rsid w:val="005A2F98"/>
    <w:rsid w:val="005A3076"/>
    <w:rsid w:val="005A3821"/>
    <w:rsid w:val="005A3E33"/>
    <w:rsid w:val="005A40B9"/>
    <w:rsid w:val="005A596F"/>
    <w:rsid w:val="005A5A2B"/>
    <w:rsid w:val="005A67D6"/>
    <w:rsid w:val="005A785D"/>
    <w:rsid w:val="005A7AD6"/>
    <w:rsid w:val="005A7C7F"/>
    <w:rsid w:val="005B00C3"/>
    <w:rsid w:val="005B0B9D"/>
    <w:rsid w:val="005B12D3"/>
    <w:rsid w:val="005B1B7E"/>
    <w:rsid w:val="005B1FF5"/>
    <w:rsid w:val="005B2073"/>
    <w:rsid w:val="005B2B26"/>
    <w:rsid w:val="005B309A"/>
    <w:rsid w:val="005B3514"/>
    <w:rsid w:val="005B3AC7"/>
    <w:rsid w:val="005B3B1A"/>
    <w:rsid w:val="005B4AC3"/>
    <w:rsid w:val="005B4E34"/>
    <w:rsid w:val="005B5674"/>
    <w:rsid w:val="005B56A0"/>
    <w:rsid w:val="005B57DF"/>
    <w:rsid w:val="005B6BB9"/>
    <w:rsid w:val="005B7F2E"/>
    <w:rsid w:val="005C05A2"/>
    <w:rsid w:val="005C066E"/>
    <w:rsid w:val="005C1063"/>
    <w:rsid w:val="005C1311"/>
    <w:rsid w:val="005C174C"/>
    <w:rsid w:val="005C1779"/>
    <w:rsid w:val="005C1B85"/>
    <w:rsid w:val="005C214F"/>
    <w:rsid w:val="005C2770"/>
    <w:rsid w:val="005C2986"/>
    <w:rsid w:val="005C2ED0"/>
    <w:rsid w:val="005C3250"/>
    <w:rsid w:val="005C336A"/>
    <w:rsid w:val="005C3401"/>
    <w:rsid w:val="005C3645"/>
    <w:rsid w:val="005C38AB"/>
    <w:rsid w:val="005C3BA2"/>
    <w:rsid w:val="005C3F0B"/>
    <w:rsid w:val="005C4C79"/>
    <w:rsid w:val="005C521F"/>
    <w:rsid w:val="005C52AC"/>
    <w:rsid w:val="005C52FA"/>
    <w:rsid w:val="005C5504"/>
    <w:rsid w:val="005C5D4E"/>
    <w:rsid w:val="005C642C"/>
    <w:rsid w:val="005C65F6"/>
    <w:rsid w:val="005C7230"/>
    <w:rsid w:val="005C7584"/>
    <w:rsid w:val="005C7D61"/>
    <w:rsid w:val="005D03EC"/>
    <w:rsid w:val="005D0682"/>
    <w:rsid w:val="005D06BC"/>
    <w:rsid w:val="005D10C7"/>
    <w:rsid w:val="005D10CD"/>
    <w:rsid w:val="005D132B"/>
    <w:rsid w:val="005D135C"/>
    <w:rsid w:val="005D1B97"/>
    <w:rsid w:val="005D1CED"/>
    <w:rsid w:val="005D230B"/>
    <w:rsid w:val="005D236E"/>
    <w:rsid w:val="005D2D80"/>
    <w:rsid w:val="005D2DE8"/>
    <w:rsid w:val="005D2E81"/>
    <w:rsid w:val="005D34E2"/>
    <w:rsid w:val="005D3DFD"/>
    <w:rsid w:val="005D3ECA"/>
    <w:rsid w:val="005D3F07"/>
    <w:rsid w:val="005D4036"/>
    <w:rsid w:val="005D43FA"/>
    <w:rsid w:val="005D44BC"/>
    <w:rsid w:val="005D457A"/>
    <w:rsid w:val="005D4B82"/>
    <w:rsid w:val="005D4D03"/>
    <w:rsid w:val="005D5272"/>
    <w:rsid w:val="005D52EC"/>
    <w:rsid w:val="005D531C"/>
    <w:rsid w:val="005D5954"/>
    <w:rsid w:val="005D5ABF"/>
    <w:rsid w:val="005D64A8"/>
    <w:rsid w:val="005D68DF"/>
    <w:rsid w:val="005D6B63"/>
    <w:rsid w:val="005D6D42"/>
    <w:rsid w:val="005D6DD9"/>
    <w:rsid w:val="005D72F7"/>
    <w:rsid w:val="005D7951"/>
    <w:rsid w:val="005D7971"/>
    <w:rsid w:val="005E05C4"/>
    <w:rsid w:val="005E0A6B"/>
    <w:rsid w:val="005E0FCC"/>
    <w:rsid w:val="005E18D1"/>
    <w:rsid w:val="005E1941"/>
    <w:rsid w:val="005E1953"/>
    <w:rsid w:val="005E1973"/>
    <w:rsid w:val="005E1CBB"/>
    <w:rsid w:val="005E2629"/>
    <w:rsid w:val="005E2CC1"/>
    <w:rsid w:val="005E30E8"/>
    <w:rsid w:val="005E32A1"/>
    <w:rsid w:val="005E32C9"/>
    <w:rsid w:val="005E3341"/>
    <w:rsid w:val="005E358F"/>
    <w:rsid w:val="005E37D5"/>
    <w:rsid w:val="005E4071"/>
    <w:rsid w:val="005E441C"/>
    <w:rsid w:val="005E4808"/>
    <w:rsid w:val="005E4BD3"/>
    <w:rsid w:val="005E50F9"/>
    <w:rsid w:val="005E559F"/>
    <w:rsid w:val="005E58D2"/>
    <w:rsid w:val="005E6149"/>
    <w:rsid w:val="005E61B2"/>
    <w:rsid w:val="005E6659"/>
    <w:rsid w:val="005E6F8D"/>
    <w:rsid w:val="005E7A50"/>
    <w:rsid w:val="005E7C98"/>
    <w:rsid w:val="005F034E"/>
    <w:rsid w:val="005F0A06"/>
    <w:rsid w:val="005F0C7D"/>
    <w:rsid w:val="005F111C"/>
    <w:rsid w:val="005F1171"/>
    <w:rsid w:val="005F158B"/>
    <w:rsid w:val="005F1659"/>
    <w:rsid w:val="005F1832"/>
    <w:rsid w:val="005F237A"/>
    <w:rsid w:val="005F2542"/>
    <w:rsid w:val="005F264F"/>
    <w:rsid w:val="005F267A"/>
    <w:rsid w:val="005F2B91"/>
    <w:rsid w:val="005F2E2C"/>
    <w:rsid w:val="005F31D5"/>
    <w:rsid w:val="005F3302"/>
    <w:rsid w:val="005F4653"/>
    <w:rsid w:val="005F4C3F"/>
    <w:rsid w:val="005F5DE3"/>
    <w:rsid w:val="005F6FCC"/>
    <w:rsid w:val="005F7ADD"/>
    <w:rsid w:val="005F7DDC"/>
    <w:rsid w:val="005F7F2D"/>
    <w:rsid w:val="00600C6E"/>
    <w:rsid w:val="00600CE0"/>
    <w:rsid w:val="0060152C"/>
    <w:rsid w:val="0060156F"/>
    <w:rsid w:val="0060186A"/>
    <w:rsid w:val="00601A9D"/>
    <w:rsid w:val="00601C96"/>
    <w:rsid w:val="00601FDA"/>
    <w:rsid w:val="00602367"/>
    <w:rsid w:val="00602B9D"/>
    <w:rsid w:val="00602E0A"/>
    <w:rsid w:val="006032F1"/>
    <w:rsid w:val="00603310"/>
    <w:rsid w:val="00603E05"/>
    <w:rsid w:val="00604194"/>
    <w:rsid w:val="006044CE"/>
    <w:rsid w:val="00604511"/>
    <w:rsid w:val="00604773"/>
    <w:rsid w:val="00604AE3"/>
    <w:rsid w:val="00605169"/>
    <w:rsid w:val="0060561F"/>
    <w:rsid w:val="00605EB3"/>
    <w:rsid w:val="00605ECD"/>
    <w:rsid w:val="00606BC6"/>
    <w:rsid w:val="00606DB3"/>
    <w:rsid w:val="0060778D"/>
    <w:rsid w:val="00607AC1"/>
    <w:rsid w:val="00607E57"/>
    <w:rsid w:val="00607E92"/>
    <w:rsid w:val="006101B8"/>
    <w:rsid w:val="006106FC"/>
    <w:rsid w:val="00610BB7"/>
    <w:rsid w:val="00610FD5"/>
    <w:rsid w:val="00611344"/>
    <w:rsid w:val="00611F7C"/>
    <w:rsid w:val="00612363"/>
    <w:rsid w:val="006130F4"/>
    <w:rsid w:val="006140E6"/>
    <w:rsid w:val="0061432B"/>
    <w:rsid w:val="006149C6"/>
    <w:rsid w:val="00614EC5"/>
    <w:rsid w:val="00614ED8"/>
    <w:rsid w:val="00615C43"/>
    <w:rsid w:val="00615D32"/>
    <w:rsid w:val="00615E39"/>
    <w:rsid w:val="006164CD"/>
    <w:rsid w:val="006166C9"/>
    <w:rsid w:val="006167F0"/>
    <w:rsid w:val="00617032"/>
    <w:rsid w:val="00617169"/>
    <w:rsid w:val="0061716D"/>
    <w:rsid w:val="00617696"/>
    <w:rsid w:val="00617A42"/>
    <w:rsid w:val="00617C76"/>
    <w:rsid w:val="0062000D"/>
    <w:rsid w:val="00621BE5"/>
    <w:rsid w:val="00621C39"/>
    <w:rsid w:val="00621D85"/>
    <w:rsid w:val="00621DE8"/>
    <w:rsid w:val="00621EEA"/>
    <w:rsid w:val="00622638"/>
    <w:rsid w:val="00622EA5"/>
    <w:rsid w:val="0062388D"/>
    <w:rsid w:val="00623ABB"/>
    <w:rsid w:val="00624092"/>
    <w:rsid w:val="00624D8E"/>
    <w:rsid w:val="00625069"/>
    <w:rsid w:val="006251A2"/>
    <w:rsid w:val="00625276"/>
    <w:rsid w:val="00625519"/>
    <w:rsid w:val="00625B31"/>
    <w:rsid w:val="00625C2F"/>
    <w:rsid w:val="00625E5E"/>
    <w:rsid w:val="00626F2A"/>
    <w:rsid w:val="006272C7"/>
    <w:rsid w:val="006272FE"/>
    <w:rsid w:val="00627451"/>
    <w:rsid w:val="00627864"/>
    <w:rsid w:val="00627AA5"/>
    <w:rsid w:val="00627B49"/>
    <w:rsid w:val="00630217"/>
    <w:rsid w:val="00630285"/>
    <w:rsid w:val="0063038D"/>
    <w:rsid w:val="00630E97"/>
    <w:rsid w:val="006311C7"/>
    <w:rsid w:val="00631D90"/>
    <w:rsid w:val="006321E7"/>
    <w:rsid w:val="0063224C"/>
    <w:rsid w:val="00632707"/>
    <w:rsid w:val="00633047"/>
    <w:rsid w:val="006332C7"/>
    <w:rsid w:val="00633A48"/>
    <w:rsid w:val="00633E1B"/>
    <w:rsid w:val="00634502"/>
    <w:rsid w:val="0063470F"/>
    <w:rsid w:val="00634ECD"/>
    <w:rsid w:val="00635609"/>
    <w:rsid w:val="00635714"/>
    <w:rsid w:val="006367E8"/>
    <w:rsid w:val="00637045"/>
    <w:rsid w:val="0063736F"/>
    <w:rsid w:val="006373C3"/>
    <w:rsid w:val="006376AD"/>
    <w:rsid w:val="00637F23"/>
    <w:rsid w:val="00637F82"/>
    <w:rsid w:val="0064052B"/>
    <w:rsid w:val="006416A0"/>
    <w:rsid w:val="00641A5F"/>
    <w:rsid w:val="006424D6"/>
    <w:rsid w:val="00642527"/>
    <w:rsid w:val="00642E5C"/>
    <w:rsid w:val="006437A2"/>
    <w:rsid w:val="0064406E"/>
    <w:rsid w:val="006440A3"/>
    <w:rsid w:val="006442D9"/>
    <w:rsid w:val="0064441D"/>
    <w:rsid w:val="00644974"/>
    <w:rsid w:val="00644C60"/>
    <w:rsid w:val="00644E63"/>
    <w:rsid w:val="00645D94"/>
    <w:rsid w:val="00645F19"/>
    <w:rsid w:val="00646141"/>
    <w:rsid w:val="00646517"/>
    <w:rsid w:val="006468DC"/>
    <w:rsid w:val="00646E4A"/>
    <w:rsid w:val="006471CA"/>
    <w:rsid w:val="00647578"/>
    <w:rsid w:val="006475B1"/>
    <w:rsid w:val="0064779D"/>
    <w:rsid w:val="00647D7B"/>
    <w:rsid w:val="006500CA"/>
    <w:rsid w:val="0065031E"/>
    <w:rsid w:val="0065044C"/>
    <w:rsid w:val="00650D07"/>
    <w:rsid w:val="00650D39"/>
    <w:rsid w:val="0065159F"/>
    <w:rsid w:val="006516C0"/>
    <w:rsid w:val="0065174B"/>
    <w:rsid w:val="00651B35"/>
    <w:rsid w:val="0065218B"/>
    <w:rsid w:val="0065256D"/>
    <w:rsid w:val="006526DC"/>
    <w:rsid w:val="006533FA"/>
    <w:rsid w:val="00653B2B"/>
    <w:rsid w:val="006541CB"/>
    <w:rsid w:val="006541E8"/>
    <w:rsid w:val="00654266"/>
    <w:rsid w:val="006544D8"/>
    <w:rsid w:val="00654733"/>
    <w:rsid w:val="0065490C"/>
    <w:rsid w:val="006552FA"/>
    <w:rsid w:val="00656115"/>
    <w:rsid w:val="0065636F"/>
    <w:rsid w:val="006578B4"/>
    <w:rsid w:val="00657CC8"/>
    <w:rsid w:val="00657FCA"/>
    <w:rsid w:val="006600E7"/>
    <w:rsid w:val="00660359"/>
    <w:rsid w:val="00660396"/>
    <w:rsid w:val="00660638"/>
    <w:rsid w:val="006610BB"/>
    <w:rsid w:val="00661225"/>
    <w:rsid w:val="0066122F"/>
    <w:rsid w:val="00661232"/>
    <w:rsid w:val="00661555"/>
    <w:rsid w:val="00661920"/>
    <w:rsid w:val="00661BB4"/>
    <w:rsid w:val="00661C20"/>
    <w:rsid w:val="00661DDC"/>
    <w:rsid w:val="00662310"/>
    <w:rsid w:val="00662323"/>
    <w:rsid w:val="0066282A"/>
    <w:rsid w:val="00663282"/>
    <w:rsid w:val="00663B6D"/>
    <w:rsid w:val="00663ED2"/>
    <w:rsid w:val="00664097"/>
    <w:rsid w:val="00664D47"/>
    <w:rsid w:val="00665471"/>
    <w:rsid w:val="00665A04"/>
    <w:rsid w:val="00665CC5"/>
    <w:rsid w:val="00666288"/>
    <w:rsid w:val="0066644C"/>
    <w:rsid w:val="006676F4"/>
    <w:rsid w:val="006677FE"/>
    <w:rsid w:val="00667BB8"/>
    <w:rsid w:val="00667F7D"/>
    <w:rsid w:val="006703F9"/>
    <w:rsid w:val="00670820"/>
    <w:rsid w:val="00670BAF"/>
    <w:rsid w:val="00670EF9"/>
    <w:rsid w:val="00671309"/>
    <w:rsid w:val="006714EA"/>
    <w:rsid w:val="006719C1"/>
    <w:rsid w:val="006722E7"/>
    <w:rsid w:val="0067286D"/>
    <w:rsid w:val="00672A8A"/>
    <w:rsid w:val="00672FE4"/>
    <w:rsid w:val="00673109"/>
    <w:rsid w:val="00673364"/>
    <w:rsid w:val="006739EF"/>
    <w:rsid w:val="00673A56"/>
    <w:rsid w:val="006745A2"/>
    <w:rsid w:val="00674D18"/>
    <w:rsid w:val="006759BB"/>
    <w:rsid w:val="006759F6"/>
    <w:rsid w:val="00675AD4"/>
    <w:rsid w:val="0067609C"/>
    <w:rsid w:val="006763D7"/>
    <w:rsid w:val="006766BD"/>
    <w:rsid w:val="006768B3"/>
    <w:rsid w:val="00676B39"/>
    <w:rsid w:val="0067707C"/>
    <w:rsid w:val="0067752B"/>
    <w:rsid w:val="00677642"/>
    <w:rsid w:val="006776F7"/>
    <w:rsid w:val="00677763"/>
    <w:rsid w:val="006779A6"/>
    <w:rsid w:val="00677A7A"/>
    <w:rsid w:val="00677B2F"/>
    <w:rsid w:val="00680520"/>
    <w:rsid w:val="006814ED"/>
    <w:rsid w:val="00682308"/>
    <w:rsid w:val="0068233A"/>
    <w:rsid w:val="00682502"/>
    <w:rsid w:val="006827CD"/>
    <w:rsid w:val="00682EAF"/>
    <w:rsid w:val="00683635"/>
    <w:rsid w:val="00684299"/>
    <w:rsid w:val="00684817"/>
    <w:rsid w:val="00684867"/>
    <w:rsid w:val="006849D5"/>
    <w:rsid w:val="00684EF6"/>
    <w:rsid w:val="00685154"/>
    <w:rsid w:val="006858B5"/>
    <w:rsid w:val="00685A0F"/>
    <w:rsid w:val="00685BED"/>
    <w:rsid w:val="00686201"/>
    <w:rsid w:val="00686AA6"/>
    <w:rsid w:val="00686C66"/>
    <w:rsid w:val="00686DD7"/>
    <w:rsid w:val="006874B5"/>
    <w:rsid w:val="006905EF"/>
    <w:rsid w:val="006907F8"/>
    <w:rsid w:val="00690C3A"/>
    <w:rsid w:val="0069135D"/>
    <w:rsid w:val="006914D4"/>
    <w:rsid w:val="00691576"/>
    <w:rsid w:val="0069215B"/>
    <w:rsid w:val="0069277B"/>
    <w:rsid w:val="006932C8"/>
    <w:rsid w:val="00693347"/>
    <w:rsid w:val="0069359C"/>
    <w:rsid w:val="0069447F"/>
    <w:rsid w:val="0069464C"/>
    <w:rsid w:val="006946AA"/>
    <w:rsid w:val="00694F60"/>
    <w:rsid w:val="0069517E"/>
    <w:rsid w:val="0069549D"/>
    <w:rsid w:val="0069550F"/>
    <w:rsid w:val="0069566F"/>
    <w:rsid w:val="0069568C"/>
    <w:rsid w:val="006958A0"/>
    <w:rsid w:val="00695B93"/>
    <w:rsid w:val="00696E58"/>
    <w:rsid w:val="0069706F"/>
    <w:rsid w:val="00697F2B"/>
    <w:rsid w:val="006A099F"/>
    <w:rsid w:val="006A0A91"/>
    <w:rsid w:val="006A1339"/>
    <w:rsid w:val="006A1467"/>
    <w:rsid w:val="006A15E3"/>
    <w:rsid w:val="006A1954"/>
    <w:rsid w:val="006A19A0"/>
    <w:rsid w:val="006A1C37"/>
    <w:rsid w:val="006A22ED"/>
    <w:rsid w:val="006A2372"/>
    <w:rsid w:val="006A2483"/>
    <w:rsid w:val="006A324D"/>
    <w:rsid w:val="006A3276"/>
    <w:rsid w:val="006A3506"/>
    <w:rsid w:val="006A382B"/>
    <w:rsid w:val="006A3D05"/>
    <w:rsid w:val="006A50CD"/>
    <w:rsid w:val="006A52F0"/>
    <w:rsid w:val="006A5479"/>
    <w:rsid w:val="006A5725"/>
    <w:rsid w:val="006A5903"/>
    <w:rsid w:val="006A592C"/>
    <w:rsid w:val="006A6A85"/>
    <w:rsid w:val="006A6D14"/>
    <w:rsid w:val="006A722D"/>
    <w:rsid w:val="006A7A36"/>
    <w:rsid w:val="006A7B21"/>
    <w:rsid w:val="006B0A92"/>
    <w:rsid w:val="006B0AA0"/>
    <w:rsid w:val="006B0D88"/>
    <w:rsid w:val="006B0FC2"/>
    <w:rsid w:val="006B1838"/>
    <w:rsid w:val="006B1F37"/>
    <w:rsid w:val="006B2444"/>
    <w:rsid w:val="006B2D37"/>
    <w:rsid w:val="006B349E"/>
    <w:rsid w:val="006B392C"/>
    <w:rsid w:val="006B3AB7"/>
    <w:rsid w:val="006B4413"/>
    <w:rsid w:val="006B491E"/>
    <w:rsid w:val="006B49DE"/>
    <w:rsid w:val="006B4DD9"/>
    <w:rsid w:val="006B5067"/>
    <w:rsid w:val="006B524E"/>
    <w:rsid w:val="006B59F4"/>
    <w:rsid w:val="006B5CAA"/>
    <w:rsid w:val="006B5DC3"/>
    <w:rsid w:val="006B6A5B"/>
    <w:rsid w:val="006B6EAB"/>
    <w:rsid w:val="006B745C"/>
    <w:rsid w:val="006B76D1"/>
    <w:rsid w:val="006B7900"/>
    <w:rsid w:val="006B7D02"/>
    <w:rsid w:val="006C0F8B"/>
    <w:rsid w:val="006C1816"/>
    <w:rsid w:val="006C1C3D"/>
    <w:rsid w:val="006C1CFF"/>
    <w:rsid w:val="006C2514"/>
    <w:rsid w:val="006C2F94"/>
    <w:rsid w:val="006C328E"/>
    <w:rsid w:val="006C385B"/>
    <w:rsid w:val="006C3B21"/>
    <w:rsid w:val="006C3EDB"/>
    <w:rsid w:val="006C42C0"/>
    <w:rsid w:val="006C53A4"/>
    <w:rsid w:val="006C6B02"/>
    <w:rsid w:val="006C6C53"/>
    <w:rsid w:val="006C71AC"/>
    <w:rsid w:val="006C7642"/>
    <w:rsid w:val="006C76E3"/>
    <w:rsid w:val="006C7D3E"/>
    <w:rsid w:val="006D01B1"/>
    <w:rsid w:val="006D02D3"/>
    <w:rsid w:val="006D0BAA"/>
    <w:rsid w:val="006D11E8"/>
    <w:rsid w:val="006D1241"/>
    <w:rsid w:val="006D1F21"/>
    <w:rsid w:val="006D2FEE"/>
    <w:rsid w:val="006D30E5"/>
    <w:rsid w:val="006D3138"/>
    <w:rsid w:val="006D313F"/>
    <w:rsid w:val="006D4625"/>
    <w:rsid w:val="006D4F80"/>
    <w:rsid w:val="006D5744"/>
    <w:rsid w:val="006D5DEF"/>
    <w:rsid w:val="006D5E41"/>
    <w:rsid w:val="006D60A3"/>
    <w:rsid w:val="006D6165"/>
    <w:rsid w:val="006D69AE"/>
    <w:rsid w:val="006D714E"/>
    <w:rsid w:val="006D747E"/>
    <w:rsid w:val="006D74B9"/>
    <w:rsid w:val="006D7B7D"/>
    <w:rsid w:val="006D7E41"/>
    <w:rsid w:val="006E1214"/>
    <w:rsid w:val="006E1226"/>
    <w:rsid w:val="006E16B5"/>
    <w:rsid w:val="006E1812"/>
    <w:rsid w:val="006E25CF"/>
    <w:rsid w:val="006E26C8"/>
    <w:rsid w:val="006E30A9"/>
    <w:rsid w:val="006E3239"/>
    <w:rsid w:val="006E3283"/>
    <w:rsid w:val="006E3AC2"/>
    <w:rsid w:val="006E40C1"/>
    <w:rsid w:val="006E47C2"/>
    <w:rsid w:val="006E4BAA"/>
    <w:rsid w:val="006E4BED"/>
    <w:rsid w:val="006E4E37"/>
    <w:rsid w:val="006E4ECC"/>
    <w:rsid w:val="006E523C"/>
    <w:rsid w:val="006E5790"/>
    <w:rsid w:val="006E69DE"/>
    <w:rsid w:val="006E6B77"/>
    <w:rsid w:val="006E7927"/>
    <w:rsid w:val="006E7D29"/>
    <w:rsid w:val="006E7D54"/>
    <w:rsid w:val="006E7F79"/>
    <w:rsid w:val="006F01C8"/>
    <w:rsid w:val="006F036C"/>
    <w:rsid w:val="006F0FB8"/>
    <w:rsid w:val="006F16D6"/>
    <w:rsid w:val="006F17DE"/>
    <w:rsid w:val="006F1CA6"/>
    <w:rsid w:val="006F2003"/>
    <w:rsid w:val="006F2969"/>
    <w:rsid w:val="006F309B"/>
    <w:rsid w:val="006F3FFA"/>
    <w:rsid w:val="006F4134"/>
    <w:rsid w:val="006F4150"/>
    <w:rsid w:val="006F41A7"/>
    <w:rsid w:val="006F4726"/>
    <w:rsid w:val="006F4C34"/>
    <w:rsid w:val="006F4E16"/>
    <w:rsid w:val="006F4F61"/>
    <w:rsid w:val="006F5003"/>
    <w:rsid w:val="006F5097"/>
    <w:rsid w:val="006F5372"/>
    <w:rsid w:val="006F53BF"/>
    <w:rsid w:val="006F58A9"/>
    <w:rsid w:val="006F5C72"/>
    <w:rsid w:val="006F61EF"/>
    <w:rsid w:val="006F6445"/>
    <w:rsid w:val="006F6D18"/>
    <w:rsid w:val="006F782A"/>
    <w:rsid w:val="006F7FC0"/>
    <w:rsid w:val="00700140"/>
    <w:rsid w:val="00700735"/>
    <w:rsid w:val="00700ADA"/>
    <w:rsid w:val="00700B7B"/>
    <w:rsid w:val="00700EA7"/>
    <w:rsid w:val="00701509"/>
    <w:rsid w:val="007016FB"/>
    <w:rsid w:val="00702008"/>
    <w:rsid w:val="0070275B"/>
    <w:rsid w:val="00702F21"/>
    <w:rsid w:val="007030B2"/>
    <w:rsid w:val="00703745"/>
    <w:rsid w:val="00704222"/>
    <w:rsid w:val="0070434F"/>
    <w:rsid w:val="00704522"/>
    <w:rsid w:val="0070469F"/>
    <w:rsid w:val="007046BE"/>
    <w:rsid w:val="007052A8"/>
    <w:rsid w:val="007052C5"/>
    <w:rsid w:val="007056C3"/>
    <w:rsid w:val="00706599"/>
    <w:rsid w:val="00706DBE"/>
    <w:rsid w:val="00706E1A"/>
    <w:rsid w:val="0070772E"/>
    <w:rsid w:val="00710C0A"/>
    <w:rsid w:val="00710CF5"/>
    <w:rsid w:val="00711BD7"/>
    <w:rsid w:val="007128BC"/>
    <w:rsid w:val="00712E59"/>
    <w:rsid w:val="0071312A"/>
    <w:rsid w:val="007133C7"/>
    <w:rsid w:val="007135DB"/>
    <w:rsid w:val="00713E41"/>
    <w:rsid w:val="00714031"/>
    <w:rsid w:val="007142A2"/>
    <w:rsid w:val="00714521"/>
    <w:rsid w:val="00714D92"/>
    <w:rsid w:val="0071584E"/>
    <w:rsid w:val="007158D8"/>
    <w:rsid w:val="00715A61"/>
    <w:rsid w:val="00715AA3"/>
    <w:rsid w:val="00715E97"/>
    <w:rsid w:val="00716BA7"/>
    <w:rsid w:val="00717219"/>
    <w:rsid w:val="007178C9"/>
    <w:rsid w:val="00717973"/>
    <w:rsid w:val="00717B12"/>
    <w:rsid w:val="00717E1E"/>
    <w:rsid w:val="00717EC8"/>
    <w:rsid w:val="00720B44"/>
    <w:rsid w:val="00721313"/>
    <w:rsid w:val="00721E8C"/>
    <w:rsid w:val="00722333"/>
    <w:rsid w:val="00723A35"/>
    <w:rsid w:val="00723B59"/>
    <w:rsid w:val="00723E8C"/>
    <w:rsid w:val="007241F7"/>
    <w:rsid w:val="00724255"/>
    <w:rsid w:val="00724D0E"/>
    <w:rsid w:val="0072522C"/>
    <w:rsid w:val="00726DC2"/>
    <w:rsid w:val="00726FD1"/>
    <w:rsid w:val="00727810"/>
    <w:rsid w:val="00727C48"/>
    <w:rsid w:val="00730C0A"/>
    <w:rsid w:val="007311FD"/>
    <w:rsid w:val="0073226E"/>
    <w:rsid w:val="00732443"/>
    <w:rsid w:val="00732678"/>
    <w:rsid w:val="0073329C"/>
    <w:rsid w:val="00733634"/>
    <w:rsid w:val="007342A2"/>
    <w:rsid w:val="007346EA"/>
    <w:rsid w:val="00734C86"/>
    <w:rsid w:val="00736068"/>
    <w:rsid w:val="00736A28"/>
    <w:rsid w:val="0073749C"/>
    <w:rsid w:val="00740606"/>
    <w:rsid w:val="007413F5"/>
    <w:rsid w:val="007415E3"/>
    <w:rsid w:val="00741933"/>
    <w:rsid w:val="00741B31"/>
    <w:rsid w:val="0074203B"/>
    <w:rsid w:val="00742759"/>
    <w:rsid w:val="00742C9A"/>
    <w:rsid w:val="007438D5"/>
    <w:rsid w:val="00743DF2"/>
    <w:rsid w:val="00743F6C"/>
    <w:rsid w:val="00744C32"/>
    <w:rsid w:val="0074537E"/>
    <w:rsid w:val="007455FE"/>
    <w:rsid w:val="00745C97"/>
    <w:rsid w:val="00746039"/>
    <w:rsid w:val="007461B8"/>
    <w:rsid w:val="007465C0"/>
    <w:rsid w:val="007471F1"/>
    <w:rsid w:val="00750601"/>
    <w:rsid w:val="0075108C"/>
    <w:rsid w:val="007513FC"/>
    <w:rsid w:val="00751463"/>
    <w:rsid w:val="00751CAE"/>
    <w:rsid w:val="00751E27"/>
    <w:rsid w:val="00751F60"/>
    <w:rsid w:val="007521FE"/>
    <w:rsid w:val="007522B6"/>
    <w:rsid w:val="007527AF"/>
    <w:rsid w:val="007529AF"/>
    <w:rsid w:val="00752C24"/>
    <w:rsid w:val="00753366"/>
    <w:rsid w:val="007535D4"/>
    <w:rsid w:val="007550DA"/>
    <w:rsid w:val="00755520"/>
    <w:rsid w:val="00756A8E"/>
    <w:rsid w:val="00756ACA"/>
    <w:rsid w:val="00757622"/>
    <w:rsid w:val="00757960"/>
    <w:rsid w:val="00757A2F"/>
    <w:rsid w:val="00757F5D"/>
    <w:rsid w:val="00760001"/>
    <w:rsid w:val="00760241"/>
    <w:rsid w:val="007602E5"/>
    <w:rsid w:val="00760591"/>
    <w:rsid w:val="0076096F"/>
    <w:rsid w:val="00760B32"/>
    <w:rsid w:val="00760EAA"/>
    <w:rsid w:val="0076178A"/>
    <w:rsid w:val="00761C37"/>
    <w:rsid w:val="00761FA1"/>
    <w:rsid w:val="007626AC"/>
    <w:rsid w:val="00762912"/>
    <w:rsid w:val="00763100"/>
    <w:rsid w:val="007637A0"/>
    <w:rsid w:val="00764276"/>
    <w:rsid w:val="007642EA"/>
    <w:rsid w:val="007645EE"/>
    <w:rsid w:val="00764601"/>
    <w:rsid w:val="0076496E"/>
    <w:rsid w:val="00764B71"/>
    <w:rsid w:val="007654FC"/>
    <w:rsid w:val="00765B32"/>
    <w:rsid w:val="00766939"/>
    <w:rsid w:val="00766D78"/>
    <w:rsid w:val="00766F07"/>
    <w:rsid w:val="00767334"/>
    <w:rsid w:val="00767648"/>
    <w:rsid w:val="0077038C"/>
    <w:rsid w:val="00770985"/>
    <w:rsid w:val="00770D72"/>
    <w:rsid w:val="00771554"/>
    <w:rsid w:val="007717FE"/>
    <w:rsid w:val="00771AFF"/>
    <w:rsid w:val="00771CE5"/>
    <w:rsid w:val="0077301F"/>
    <w:rsid w:val="00773783"/>
    <w:rsid w:val="00773E64"/>
    <w:rsid w:val="00773F30"/>
    <w:rsid w:val="00774235"/>
    <w:rsid w:val="00774374"/>
    <w:rsid w:val="0077470D"/>
    <w:rsid w:val="007753FF"/>
    <w:rsid w:val="007754C9"/>
    <w:rsid w:val="00775A35"/>
    <w:rsid w:val="00775A7B"/>
    <w:rsid w:val="00776054"/>
    <w:rsid w:val="00776A44"/>
    <w:rsid w:val="00776E43"/>
    <w:rsid w:val="00776ED8"/>
    <w:rsid w:val="00777536"/>
    <w:rsid w:val="00777B5B"/>
    <w:rsid w:val="00777CBD"/>
    <w:rsid w:val="00777F2F"/>
    <w:rsid w:val="007802F0"/>
    <w:rsid w:val="00780FAC"/>
    <w:rsid w:val="00781242"/>
    <w:rsid w:val="007816CB"/>
    <w:rsid w:val="0078194C"/>
    <w:rsid w:val="007821E3"/>
    <w:rsid w:val="00782571"/>
    <w:rsid w:val="00782771"/>
    <w:rsid w:val="0078297D"/>
    <w:rsid w:val="00782B99"/>
    <w:rsid w:val="00782E4B"/>
    <w:rsid w:val="00783201"/>
    <w:rsid w:val="00783617"/>
    <w:rsid w:val="00783854"/>
    <w:rsid w:val="00784600"/>
    <w:rsid w:val="00784BBF"/>
    <w:rsid w:val="007853FA"/>
    <w:rsid w:val="00785D87"/>
    <w:rsid w:val="00787B56"/>
    <w:rsid w:val="00790426"/>
    <w:rsid w:val="00790997"/>
    <w:rsid w:val="00790A2A"/>
    <w:rsid w:val="00790FB1"/>
    <w:rsid w:val="0079111B"/>
    <w:rsid w:val="00791912"/>
    <w:rsid w:val="007931A0"/>
    <w:rsid w:val="007932EA"/>
    <w:rsid w:val="0079353D"/>
    <w:rsid w:val="007935CD"/>
    <w:rsid w:val="0079374A"/>
    <w:rsid w:val="00793F31"/>
    <w:rsid w:val="00793F38"/>
    <w:rsid w:val="0079421F"/>
    <w:rsid w:val="0079529E"/>
    <w:rsid w:val="007969D0"/>
    <w:rsid w:val="00796A8C"/>
    <w:rsid w:val="00796C21"/>
    <w:rsid w:val="00796E1D"/>
    <w:rsid w:val="00797349"/>
    <w:rsid w:val="00797643"/>
    <w:rsid w:val="007A0A47"/>
    <w:rsid w:val="007A0D95"/>
    <w:rsid w:val="007A1BE6"/>
    <w:rsid w:val="007A1EE2"/>
    <w:rsid w:val="007A2E1D"/>
    <w:rsid w:val="007A32E2"/>
    <w:rsid w:val="007A3A9B"/>
    <w:rsid w:val="007A4107"/>
    <w:rsid w:val="007A539D"/>
    <w:rsid w:val="007A59D7"/>
    <w:rsid w:val="007A63BA"/>
    <w:rsid w:val="007A6701"/>
    <w:rsid w:val="007A6919"/>
    <w:rsid w:val="007A694C"/>
    <w:rsid w:val="007A7213"/>
    <w:rsid w:val="007A759A"/>
    <w:rsid w:val="007A7BDB"/>
    <w:rsid w:val="007B0538"/>
    <w:rsid w:val="007B05CD"/>
    <w:rsid w:val="007B1282"/>
    <w:rsid w:val="007B1C0B"/>
    <w:rsid w:val="007B1D51"/>
    <w:rsid w:val="007B1ED6"/>
    <w:rsid w:val="007B2518"/>
    <w:rsid w:val="007B281D"/>
    <w:rsid w:val="007B285F"/>
    <w:rsid w:val="007B2E53"/>
    <w:rsid w:val="007B3C5E"/>
    <w:rsid w:val="007B4223"/>
    <w:rsid w:val="007B4EE4"/>
    <w:rsid w:val="007B4F51"/>
    <w:rsid w:val="007B5032"/>
    <w:rsid w:val="007B518A"/>
    <w:rsid w:val="007B5528"/>
    <w:rsid w:val="007B5A99"/>
    <w:rsid w:val="007B5D6B"/>
    <w:rsid w:val="007B5DB0"/>
    <w:rsid w:val="007B5DE2"/>
    <w:rsid w:val="007B5E2F"/>
    <w:rsid w:val="007B64C6"/>
    <w:rsid w:val="007B6B7D"/>
    <w:rsid w:val="007B7521"/>
    <w:rsid w:val="007B7557"/>
    <w:rsid w:val="007B7572"/>
    <w:rsid w:val="007B7776"/>
    <w:rsid w:val="007B78E9"/>
    <w:rsid w:val="007B7EF9"/>
    <w:rsid w:val="007C01D7"/>
    <w:rsid w:val="007C0280"/>
    <w:rsid w:val="007C05CE"/>
    <w:rsid w:val="007C05CF"/>
    <w:rsid w:val="007C083C"/>
    <w:rsid w:val="007C0875"/>
    <w:rsid w:val="007C0D41"/>
    <w:rsid w:val="007C1079"/>
    <w:rsid w:val="007C11B1"/>
    <w:rsid w:val="007C1731"/>
    <w:rsid w:val="007C182E"/>
    <w:rsid w:val="007C1B22"/>
    <w:rsid w:val="007C26EC"/>
    <w:rsid w:val="007C28C2"/>
    <w:rsid w:val="007C2C87"/>
    <w:rsid w:val="007C3261"/>
    <w:rsid w:val="007C3699"/>
    <w:rsid w:val="007C3F25"/>
    <w:rsid w:val="007C4314"/>
    <w:rsid w:val="007C54B3"/>
    <w:rsid w:val="007C5848"/>
    <w:rsid w:val="007C6FF2"/>
    <w:rsid w:val="007C72EB"/>
    <w:rsid w:val="007C73F2"/>
    <w:rsid w:val="007C76CB"/>
    <w:rsid w:val="007C7723"/>
    <w:rsid w:val="007C780C"/>
    <w:rsid w:val="007C78B2"/>
    <w:rsid w:val="007C7A12"/>
    <w:rsid w:val="007C7CB4"/>
    <w:rsid w:val="007D0973"/>
    <w:rsid w:val="007D12FE"/>
    <w:rsid w:val="007D1B69"/>
    <w:rsid w:val="007D24EE"/>
    <w:rsid w:val="007D284E"/>
    <w:rsid w:val="007D2BB6"/>
    <w:rsid w:val="007D37EA"/>
    <w:rsid w:val="007D38CC"/>
    <w:rsid w:val="007D3A34"/>
    <w:rsid w:val="007D3B62"/>
    <w:rsid w:val="007D3EA5"/>
    <w:rsid w:val="007D432F"/>
    <w:rsid w:val="007D4531"/>
    <w:rsid w:val="007D46E8"/>
    <w:rsid w:val="007D4930"/>
    <w:rsid w:val="007D5186"/>
    <w:rsid w:val="007D59A4"/>
    <w:rsid w:val="007D608D"/>
    <w:rsid w:val="007D6F89"/>
    <w:rsid w:val="007D764A"/>
    <w:rsid w:val="007D7E5B"/>
    <w:rsid w:val="007E004F"/>
    <w:rsid w:val="007E02C5"/>
    <w:rsid w:val="007E0365"/>
    <w:rsid w:val="007E084E"/>
    <w:rsid w:val="007E09AA"/>
    <w:rsid w:val="007E0D9A"/>
    <w:rsid w:val="007E0DB8"/>
    <w:rsid w:val="007E1223"/>
    <w:rsid w:val="007E127C"/>
    <w:rsid w:val="007E3046"/>
    <w:rsid w:val="007E3A83"/>
    <w:rsid w:val="007E430A"/>
    <w:rsid w:val="007E4485"/>
    <w:rsid w:val="007E46C9"/>
    <w:rsid w:val="007E46D2"/>
    <w:rsid w:val="007E49F5"/>
    <w:rsid w:val="007E4CE0"/>
    <w:rsid w:val="007E56C9"/>
    <w:rsid w:val="007E57EB"/>
    <w:rsid w:val="007E5BB6"/>
    <w:rsid w:val="007E5E35"/>
    <w:rsid w:val="007E60C6"/>
    <w:rsid w:val="007E61D9"/>
    <w:rsid w:val="007E664F"/>
    <w:rsid w:val="007E67B6"/>
    <w:rsid w:val="007E6F2B"/>
    <w:rsid w:val="007E7936"/>
    <w:rsid w:val="007E7B16"/>
    <w:rsid w:val="007E7FBD"/>
    <w:rsid w:val="007E7FBF"/>
    <w:rsid w:val="007F0CA1"/>
    <w:rsid w:val="007F12CD"/>
    <w:rsid w:val="007F26CD"/>
    <w:rsid w:val="007F2D85"/>
    <w:rsid w:val="007F338D"/>
    <w:rsid w:val="007F346A"/>
    <w:rsid w:val="007F3C80"/>
    <w:rsid w:val="007F3D9B"/>
    <w:rsid w:val="007F3DEC"/>
    <w:rsid w:val="007F4030"/>
    <w:rsid w:val="007F41C7"/>
    <w:rsid w:val="007F47AC"/>
    <w:rsid w:val="007F4ADA"/>
    <w:rsid w:val="007F505C"/>
    <w:rsid w:val="007F5180"/>
    <w:rsid w:val="007F5B34"/>
    <w:rsid w:val="007F5C7E"/>
    <w:rsid w:val="007F636D"/>
    <w:rsid w:val="007F6911"/>
    <w:rsid w:val="007F6BF7"/>
    <w:rsid w:val="007F7535"/>
    <w:rsid w:val="007F759B"/>
    <w:rsid w:val="007F75D2"/>
    <w:rsid w:val="007F7769"/>
    <w:rsid w:val="007F7C30"/>
    <w:rsid w:val="007F7D12"/>
    <w:rsid w:val="00800020"/>
    <w:rsid w:val="00800692"/>
    <w:rsid w:val="008014CE"/>
    <w:rsid w:val="008014E9"/>
    <w:rsid w:val="008018CE"/>
    <w:rsid w:val="00802407"/>
    <w:rsid w:val="00802443"/>
    <w:rsid w:val="008029BD"/>
    <w:rsid w:val="008029EA"/>
    <w:rsid w:val="00802AAB"/>
    <w:rsid w:val="00802AD0"/>
    <w:rsid w:val="00802E04"/>
    <w:rsid w:val="00802FBE"/>
    <w:rsid w:val="0080310C"/>
    <w:rsid w:val="00803499"/>
    <w:rsid w:val="00804314"/>
    <w:rsid w:val="00804812"/>
    <w:rsid w:val="00805471"/>
    <w:rsid w:val="008055DD"/>
    <w:rsid w:val="00806201"/>
    <w:rsid w:val="008063D3"/>
    <w:rsid w:val="008067B0"/>
    <w:rsid w:val="00806D65"/>
    <w:rsid w:val="00806E2B"/>
    <w:rsid w:val="00806E9C"/>
    <w:rsid w:val="00807097"/>
    <w:rsid w:val="00807E7C"/>
    <w:rsid w:val="00807E8C"/>
    <w:rsid w:val="00810256"/>
    <w:rsid w:val="008104BF"/>
    <w:rsid w:val="00810A29"/>
    <w:rsid w:val="00810FE7"/>
    <w:rsid w:val="008110FB"/>
    <w:rsid w:val="00811916"/>
    <w:rsid w:val="00811B5B"/>
    <w:rsid w:val="0081228A"/>
    <w:rsid w:val="00812A51"/>
    <w:rsid w:val="00812AC9"/>
    <w:rsid w:val="00812F14"/>
    <w:rsid w:val="008134A3"/>
    <w:rsid w:val="00813D26"/>
    <w:rsid w:val="00814C2E"/>
    <w:rsid w:val="00814C36"/>
    <w:rsid w:val="0081541F"/>
    <w:rsid w:val="008154AB"/>
    <w:rsid w:val="00816E79"/>
    <w:rsid w:val="00816EC0"/>
    <w:rsid w:val="0081731F"/>
    <w:rsid w:val="008174DC"/>
    <w:rsid w:val="0082068F"/>
    <w:rsid w:val="00820A4D"/>
    <w:rsid w:val="00820B28"/>
    <w:rsid w:val="00821286"/>
    <w:rsid w:val="00821AFD"/>
    <w:rsid w:val="00821B52"/>
    <w:rsid w:val="00823416"/>
    <w:rsid w:val="00823C5C"/>
    <w:rsid w:val="00824182"/>
    <w:rsid w:val="00824618"/>
    <w:rsid w:val="00824905"/>
    <w:rsid w:val="0082551E"/>
    <w:rsid w:val="00825746"/>
    <w:rsid w:val="00825DDA"/>
    <w:rsid w:val="008264AE"/>
    <w:rsid w:val="00826CAE"/>
    <w:rsid w:val="00826D8E"/>
    <w:rsid w:val="00826F0D"/>
    <w:rsid w:val="008276A8"/>
    <w:rsid w:val="00827E87"/>
    <w:rsid w:val="00830628"/>
    <w:rsid w:val="008306CF"/>
    <w:rsid w:val="00830824"/>
    <w:rsid w:val="008309DA"/>
    <w:rsid w:val="00830A66"/>
    <w:rsid w:val="00830BC8"/>
    <w:rsid w:val="008318A8"/>
    <w:rsid w:val="00831DD8"/>
    <w:rsid w:val="008320A9"/>
    <w:rsid w:val="00832563"/>
    <w:rsid w:val="00832600"/>
    <w:rsid w:val="008329DC"/>
    <w:rsid w:val="0083422B"/>
    <w:rsid w:val="00834617"/>
    <w:rsid w:val="00835080"/>
    <w:rsid w:val="0083510E"/>
    <w:rsid w:val="00835223"/>
    <w:rsid w:val="00835787"/>
    <w:rsid w:val="00835BB1"/>
    <w:rsid w:val="008364A4"/>
    <w:rsid w:val="00836503"/>
    <w:rsid w:val="008367CB"/>
    <w:rsid w:val="0083693C"/>
    <w:rsid w:val="00836C70"/>
    <w:rsid w:val="0083717E"/>
    <w:rsid w:val="00837C9A"/>
    <w:rsid w:val="00837CEB"/>
    <w:rsid w:val="00840024"/>
    <w:rsid w:val="00840192"/>
    <w:rsid w:val="008407D3"/>
    <w:rsid w:val="0084124E"/>
    <w:rsid w:val="0084124F"/>
    <w:rsid w:val="00841529"/>
    <w:rsid w:val="00841F97"/>
    <w:rsid w:val="00842E5B"/>
    <w:rsid w:val="00842ECD"/>
    <w:rsid w:val="00842F00"/>
    <w:rsid w:val="00843051"/>
    <w:rsid w:val="00843674"/>
    <w:rsid w:val="008441D5"/>
    <w:rsid w:val="00844920"/>
    <w:rsid w:val="00844B48"/>
    <w:rsid w:val="00844BCE"/>
    <w:rsid w:val="00844CBC"/>
    <w:rsid w:val="00844FE0"/>
    <w:rsid w:val="00845314"/>
    <w:rsid w:val="0084548C"/>
    <w:rsid w:val="00846216"/>
    <w:rsid w:val="00846596"/>
    <w:rsid w:val="0084661F"/>
    <w:rsid w:val="0084670C"/>
    <w:rsid w:val="00846F83"/>
    <w:rsid w:val="008474E8"/>
    <w:rsid w:val="008478F8"/>
    <w:rsid w:val="008501B7"/>
    <w:rsid w:val="00850FFA"/>
    <w:rsid w:val="008510B2"/>
    <w:rsid w:val="00851569"/>
    <w:rsid w:val="008516D7"/>
    <w:rsid w:val="008517A0"/>
    <w:rsid w:val="00851A01"/>
    <w:rsid w:val="00851B70"/>
    <w:rsid w:val="00851C7D"/>
    <w:rsid w:val="00851CD9"/>
    <w:rsid w:val="00851D8E"/>
    <w:rsid w:val="00851EE2"/>
    <w:rsid w:val="00852021"/>
    <w:rsid w:val="00852238"/>
    <w:rsid w:val="0085224D"/>
    <w:rsid w:val="0085253F"/>
    <w:rsid w:val="0085269C"/>
    <w:rsid w:val="00852782"/>
    <w:rsid w:val="00852857"/>
    <w:rsid w:val="00853BEA"/>
    <w:rsid w:val="00854253"/>
    <w:rsid w:val="00854368"/>
    <w:rsid w:val="008544C2"/>
    <w:rsid w:val="008547D8"/>
    <w:rsid w:val="0085487B"/>
    <w:rsid w:val="00854D9D"/>
    <w:rsid w:val="00854E12"/>
    <w:rsid w:val="00855232"/>
    <w:rsid w:val="00855AB4"/>
    <w:rsid w:val="0085605D"/>
    <w:rsid w:val="00856182"/>
    <w:rsid w:val="00856257"/>
    <w:rsid w:val="008562F7"/>
    <w:rsid w:val="00856897"/>
    <w:rsid w:val="00857A0A"/>
    <w:rsid w:val="0086098B"/>
    <w:rsid w:val="00860A03"/>
    <w:rsid w:val="00860A23"/>
    <w:rsid w:val="00860AC2"/>
    <w:rsid w:val="00861046"/>
    <w:rsid w:val="008612D9"/>
    <w:rsid w:val="0086130A"/>
    <w:rsid w:val="00861558"/>
    <w:rsid w:val="008617AA"/>
    <w:rsid w:val="00861B4B"/>
    <w:rsid w:val="00861BA2"/>
    <w:rsid w:val="00861FBC"/>
    <w:rsid w:val="00862774"/>
    <w:rsid w:val="00862C1C"/>
    <w:rsid w:val="00862F93"/>
    <w:rsid w:val="00863668"/>
    <w:rsid w:val="008637DD"/>
    <w:rsid w:val="00863F90"/>
    <w:rsid w:val="008642A0"/>
    <w:rsid w:val="00864B78"/>
    <w:rsid w:val="00864E80"/>
    <w:rsid w:val="008653C8"/>
    <w:rsid w:val="00865E8D"/>
    <w:rsid w:val="008663A2"/>
    <w:rsid w:val="00866623"/>
    <w:rsid w:val="00866A6F"/>
    <w:rsid w:val="00867107"/>
    <w:rsid w:val="008676DB"/>
    <w:rsid w:val="00870226"/>
    <w:rsid w:val="0087083F"/>
    <w:rsid w:val="0087088A"/>
    <w:rsid w:val="00871415"/>
    <w:rsid w:val="0087214C"/>
    <w:rsid w:val="008721D5"/>
    <w:rsid w:val="00872B05"/>
    <w:rsid w:val="00873E56"/>
    <w:rsid w:val="00873FA2"/>
    <w:rsid w:val="0087437F"/>
    <w:rsid w:val="008743CE"/>
    <w:rsid w:val="008747C4"/>
    <w:rsid w:val="00874B84"/>
    <w:rsid w:val="00875DEC"/>
    <w:rsid w:val="008762A0"/>
    <w:rsid w:val="00876325"/>
    <w:rsid w:val="00876D24"/>
    <w:rsid w:val="00877B0B"/>
    <w:rsid w:val="00877B41"/>
    <w:rsid w:val="00877BF4"/>
    <w:rsid w:val="00880966"/>
    <w:rsid w:val="00880E41"/>
    <w:rsid w:val="00880F26"/>
    <w:rsid w:val="0088106E"/>
    <w:rsid w:val="0088114D"/>
    <w:rsid w:val="008811DE"/>
    <w:rsid w:val="008815C1"/>
    <w:rsid w:val="00881DC0"/>
    <w:rsid w:val="00881DE7"/>
    <w:rsid w:val="008821C0"/>
    <w:rsid w:val="008835B1"/>
    <w:rsid w:val="008838D9"/>
    <w:rsid w:val="00883F1F"/>
    <w:rsid w:val="00884336"/>
    <w:rsid w:val="00884AAA"/>
    <w:rsid w:val="0088635B"/>
    <w:rsid w:val="00886AB2"/>
    <w:rsid w:val="00887013"/>
    <w:rsid w:val="008878AC"/>
    <w:rsid w:val="00890FAF"/>
    <w:rsid w:val="00891052"/>
    <w:rsid w:val="0089182F"/>
    <w:rsid w:val="00891FC3"/>
    <w:rsid w:val="008923ED"/>
    <w:rsid w:val="00892433"/>
    <w:rsid w:val="008925B3"/>
    <w:rsid w:val="0089284D"/>
    <w:rsid w:val="00892D77"/>
    <w:rsid w:val="008930E7"/>
    <w:rsid w:val="00893A26"/>
    <w:rsid w:val="00893B5D"/>
    <w:rsid w:val="00893BBD"/>
    <w:rsid w:val="00894002"/>
    <w:rsid w:val="0089473F"/>
    <w:rsid w:val="00894974"/>
    <w:rsid w:val="00894A38"/>
    <w:rsid w:val="008950B1"/>
    <w:rsid w:val="00895A48"/>
    <w:rsid w:val="00895FDE"/>
    <w:rsid w:val="00896979"/>
    <w:rsid w:val="0089721F"/>
    <w:rsid w:val="0089781D"/>
    <w:rsid w:val="00897843"/>
    <w:rsid w:val="00897A4A"/>
    <w:rsid w:val="00897D8E"/>
    <w:rsid w:val="008A020C"/>
    <w:rsid w:val="008A0566"/>
    <w:rsid w:val="008A0AB5"/>
    <w:rsid w:val="008A0D7A"/>
    <w:rsid w:val="008A0E5E"/>
    <w:rsid w:val="008A1A24"/>
    <w:rsid w:val="008A1D48"/>
    <w:rsid w:val="008A2971"/>
    <w:rsid w:val="008A2D72"/>
    <w:rsid w:val="008A2FDD"/>
    <w:rsid w:val="008A3770"/>
    <w:rsid w:val="008A397B"/>
    <w:rsid w:val="008A3B43"/>
    <w:rsid w:val="008A3E93"/>
    <w:rsid w:val="008A3ED0"/>
    <w:rsid w:val="008A3EDA"/>
    <w:rsid w:val="008A3FE5"/>
    <w:rsid w:val="008A4559"/>
    <w:rsid w:val="008A4725"/>
    <w:rsid w:val="008A4E4C"/>
    <w:rsid w:val="008A5030"/>
    <w:rsid w:val="008A601A"/>
    <w:rsid w:val="008A675D"/>
    <w:rsid w:val="008A6AEA"/>
    <w:rsid w:val="008B0F21"/>
    <w:rsid w:val="008B13B5"/>
    <w:rsid w:val="008B2BC1"/>
    <w:rsid w:val="008B2C37"/>
    <w:rsid w:val="008B3BAA"/>
    <w:rsid w:val="008B3F51"/>
    <w:rsid w:val="008B4534"/>
    <w:rsid w:val="008B4955"/>
    <w:rsid w:val="008B5A74"/>
    <w:rsid w:val="008B5BC9"/>
    <w:rsid w:val="008B5EB2"/>
    <w:rsid w:val="008B62FC"/>
    <w:rsid w:val="008B650A"/>
    <w:rsid w:val="008B66DB"/>
    <w:rsid w:val="008B68B5"/>
    <w:rsid w:val="008B6CA4"/>
    <w:rsid w:val="008B752F"/>
    <w:rsid w:val="008B78CA"/>
    <w:rsid w:val="008B79C1"/>
    <w:rsid w:val="008C016E"/>
    <w:rsid w:val="008C026C"/>
    <w:rsid w:val="008C0F55"/>
    <w:rsid w:val="008C136C"/>
    <w:rsid w:val="008C1765"/>
    <w:rsid w:val="008C1B70"/>
    <w:rsid w:val="008C1B81"/>
    <w:rsid w:val="008C1D0D"/>
    <w:rsid w:val="008C1E84"/>
    <w:rsid w:val="008C29DC"/>
    <w:rsid w:val="008C2DC4"/>
    <w:rsid w:val="008C30AB"/>
    <w:rsid w:val="008C3108"/>
    <w:rsid w:val="008C3DEF"/>
    <w:rsid w:val="008C3F46"/>
    <w:rsid w:val="008C40B4"/>
    <w:rsid w:val="008C4227"/>
    <w:rsid w:val="008C42A5"/>
    <w:rsid w:val="008C444D"/>
    <w:rsid w:val="008C47D3"/>
    <w:rsid w:val="008C50C4"/>
    <w:rsid w:val="008C53CB"/>
    <w:rsid w:val="008C58FD"/>
    <w:rsid w:val="008C61C6"/>
    <w:rsid w:val="008C6CAF"/>
    <w:rsid w:val="008C6D2A"/>
    <w:rsid w:val="008C6F57"/>
    <w:rsid w:val="008C70F7"/>
    <w:rsid w:val="008C75C6"/>
    <w:rsid w:val="008C7F9A"/>
    <w:rsid w:val="008D0A10"/>
    <w:rsid w:val="008D1007"/>
    <w:rsid w:val="008D11DF"/>
    <w:rsid w:val="008D1400"/>
    <w:rsid w:val="008D1408"/>
    <w:rsid w:val="008D1A79"/>
    <w:rsid w:val="008D20DD"/>
    <w:rsid w:val="008D2457"/>
    <w:rsid w:val="008D260F"/>
    <w:rsid w:val="008D2B95"/>
    <w:rsid w:val="008D2C4F"/>
    <w:rsid w:val="008D354C"/>
    <w:rsid w:val="008D357C"/>
    <w:rsid w:val="008D3593"/>
    <w:rsid w:val="008D3750"/>
    <w:rsid w:val="008D424D"/>
    <w:rsid w:val="008D4508"/>
    <w:rsid w:val="008D4F63"/>
    <w:rsid w:val="008D50FA"/>
    <w:rsid w:val="008D57B6"/>
    <w:rsid w:val="008D5A8F"/>
    <w:rsid w:val="008D620A"/>
    <w:rsid w:val="008D63B3"/>
    <w:rsid w:val="008D6B9D"/>
    <w:rsid w:val="008D7A1B"/>
    <w:rsid w:val="008E04FC"/>
    <w:rsid w:val="008E1047"/>
    <w:rsid w:val="008E280C"/>
    <w:rsid w:val="008E2A09"/>
    <w:rsid w:val="008E2ADC"/>
    <w:rsid w:val="008E2AED"/>
    <w:rsid w:val="008E2BF7"/>
    <w:rsid w:val="008E2C96"/>
    <w:rsid w:val="008E2D41"/>
    <w:rsid w:val="008E2FEC"/>
    <w:rsid w:val="008E3984"/>
    <w:rsid w:val="008E4A97"/>
    <w:rsid w:val="008E4E29"/>
    <w:rsid w:val="008E4E2E"/>
    <w:rsid w:val="008E6165"/>
    <w:rsid w:val="008E7048"/>
    <w:rsid w:val="008F01B9"/>
    <w:rsid w:val="008F03E5"/>
    <w:rsid w:val="008F05DC"/>
    <w:rsid w:val="008F15F3"/>
    <w:rsid w:val="008F1925"/>
    <w:rsid w:val="008F19AA"/>
    <w:rsid w:val="008F1D74"/>
    <w:rsid w:val="008F2169"/>
    <w:rsid w:val="008F21D2"/>
    <w:rsid w:val="008F226A"/>
    <w:rsid w:val="008F2666"/>
    <w:rsid w:val="008F29B0"/>
    <w:rsid w:val="008F3269"/>
    <w:rsid w:val="008F3D4F"/>
    <w:rsid w:val="008F4E3C"/>
    <w:rsid w:val="008F5AE0"/>
    <w:rsid w:val="008F5EFF"/>
    <w:rsid w:val="008F6AAA"/>
    <w:rsid w:val="008F6B10"/>
    <w:rsid w:val="008F6BEF"/>
    <w:rsid w:val="008F6EB9"/>
    <w:rsid w:val="00900261"/>
    <w:rsid w:val="009013E4"/>
    <w:rsid w:val="009015F3"/>
    <w:rsid w:val="009016EF"/>
    <w:rsid w:val="00901BCD"/>
    <w:rsid w:val="00902363"/>
    <w:rsid w:val="009025DD"/>
    <w:rsid w:val="009027C4"/>
    <w:rsid w:val="00903B1E"/>
    <w:rsid w:val="00903DE0"/>
    <w:rsid w:val="00904C03"/>
    <w:rsid w:val="00904E62"/>
    <w:rsid w:val="00904F57"/>
    <w:rsid w:val="00905525"/>
    <w:rsid w:val="00905526"/>
    <w:rsid w:val="00905581"/>
    <w:rsid w:val="0090617E"/>
    <w:rsid w:val="00906804"/>
    <w:rsid w:val="0090714B"/>
    <w:rsid w:val="0090791B"/>
    <w:rsid w:val="009079B5"/>
    <w:rsid w:val="00907D5B"/>
    <w:rsid w:val="00907E1B"/>
    <w:rsid w:val="00910AD3"/>
    <w:rsid w:val="0091149F"/>
    <w:rsid w:val="00911FE8"/>
    <w:rsid w:val="0091244E"/>
    <w:rsid w:val="0091257A"/>
    <w:rsid w:val="009125C7"/>
    <w:rsid w:val="00912702"/>
    <w:rsid w:val="00912946"/>
    <w:rsid w:val="00912C91"/>
    <w:rsid w:val="0091343C"/>
    <w:rsid w:val="00913680"/>
    <w:rsid w:val="00913908"/>
    <w:rsid w:val="00914F88"/>
    <w:rsid w:val="009155D8"/>
    <w:rsid w:val="009158DD"/>
    <w:rsid w:val="00915B68"/>
    <w:rsid w:val="00915C8E"/>
    <w:rsid w:val="00915C90"/>
    <w:rsid w:val="00915D91"/>
    <w:rsid w:val="009162E0"/>
    <w:rsid w:val="0091686A"/>
    <w:rsid w:val="00916CBC"/>
    <w:rsid w:val="009170CD"/>
    <w:rsid w:val="009178C9"/>
    <w:rsid w:val="00917A28"/>
    <w:rsid w:val="00917C3A"/>
    <w:rsid w:val="00917E8A"/>
    <w:rsid w:val="00920588"/>
    <w:rsid w:val="00920A2D"/>
    <w:rsid w:val="00921138"/>
    <w:rsid w:val="009211D2"/>
    <w:rsid w:val="00921815"/>
    <w:rsid w:val="0092231C"/>
    <w:rsid w:val="009223E5"/>
    <w:rsid w:val="009229C7"/>
    <w:rsid w:val="009230F3"/>
    <w:rsid w:val="00923DF8"/>
    <w:rsid w:val="00924BEB"/>
    <w:rsid w:val="009250FB"/>
    <w:rsid w:val="00925101"/>
    <w:rsid w:val="009252B5"/>
    <w:rsid w:val="00925856"/>
    <w:rsid w:val="00925873"/>
    <w:rsid w:val="00925C85"/>
    <w:rsid w:val="009260C5"/>
    <w:rsid w:val="00926121"/>
    <w:rsid w:val="009264A1"/>
    <w:rsid w:val="0092686D"/>
    <w:rsid w:val="00926D73"/>
    <w:rsid w:val="00927319"/>
    <w:rsid w:val="00927465"/>
    <w:rsid w:val="00927E5E"/>
    <w:rsid w:val="00927E86"/>
    <w:rsid w:val="009303A9"/>
    <w:rsid w:val="00930604"/>
    <w:rsid w:val="0093072E"/>
    <w:rsid w:val="009307B9"/>
    <w:rsid w:val="00930D1E"/>
    <w:rsid w:val="00931098"/>
    <w:rsid w:val="00931151"/>
    <w:rsid w:val="00931732"/>
    <w:rsid w:val="0093183E"/>
    <w:rsid w:val="00932425"/>
    <w:rsid w:val="00934811"/>
    <w:rsid w:val="009351AA"/>
    <w:rsid w:val="009353D2"/>
    <w:rsid w:val="0093585F"/>
    <w:rsid w:val="00935F8B"/>
    <w:rsid w:val="00935FF3"/>
    <w:rsid w:val="00936896"/>
    <w:rsid w:val="00936AF9"/>
    <w:rsid w:val="00936C26"/>
    <w:rsid w:val="00936D4B"/>
    <w:rsid w:val="00940C35"/>
    <w:rsid w:val="00941304"/>
    <w:rsid w:val="00941579"/>
    <w:rsid w:val="00941EE4"/>
    <w:rsid w:val="0094201D"/>
    <w:rsid w:val="0094208C"/>
    <w:rsid w:val="009420B7"/>
    <w:rsid w:val="009426EC"/>
    <w:rsid w:val="009428E3"/>
    <w:rsid w:val="00942AE8"/>
    <w:rsid w:val="00942D6C"/>
    <w:rsid w:val="00943162"/>
    <w:rsid w:val="00943309"/>
    <w:rsid w:val="009433AD"/>
    <w:rsid w:val="00943AF8"/>
    <w:rsid w:val="00943E6F"/>
    <w:rsid w:val="0094417B"/>
    <w:rsid w:val="00944802"/>
    <w:rsid w:val="00944B6B"/>
    <w:rsid w:val="009451A1"/>
    <w:rsid w:val="009458E2"/>
    <w:rsid w:val="00945D28"/>
    <w:rsid w:val="009461D4"/>
    <w:rsid w:val="0094645F"/>
    <w:rsid w:val="0094646E"/>
    <w:rsid w:val="0094692E"/>
    <w:rsid w:val="00946CB7"/>
    <w:rsid w:val="00947A6D"/>
    <w:rsid w:val="00947BE8"/>
    <w:rsid w:val="00947C52"/>
    <w:rsid w:val="0095048E"/>
    <w:rsid w:val="00950720"/>
    <w:rsid w:val="00950A16"/>
    <w:rsid w:val="00950DDC"/>
    <w:rsid w:val="009512A0"/>
    <w:rsid w:val="009513A7"/>
    <w:rsid w:val="00951706"/>
    <w:rsid w:val="009518D4"/>
    <w:rsid w:val="00951CB9"/>
    <w:rsid w:val="0095285F"/>
    <w:rsid w:val="00952C6E"/>
    <w:rsid w:val="00952E2D"/>
    <w:rsid w:val="0095321B"/>
    <w:rsid w:val="0095370E"/>
    <w:rsid w:val="00953F30"/>
    <w:rsid w:val="0095400C"/>
    <w:rsid w:val="00954BFA"/>
    <w:rsid w:val="00955B3C"/>
    <w:rsid w:val="0095602A"/>
    <w:rsid w:val="009560DD"/>
    <w:rsid w:val="00957113"/>
    <w:rsid w:val="00957283"/>
    <w:rsid w:val="0095759F"/>
    <w:rsid w:val="00957887"/>
    <w:rsid w:val="00957AA5"/>
    <w:rsid w:val="009616FA"/>
    <w:rsid w:val="00961A08"/>
    <w:rsid w:val="00961B95"/>
    <w:rsid w:val="00961C26"/>
    <w:rsid w:val="00962443"/>
    <w:rsid w:val="00962540"/>
    <w:rsid w:val="009625A9"/>
    <w:rsid w:val="009628FF"/>
    <w:rsid w:val="00962945"/>
    <w:rsid w:val="00963E62"/>
    <w:rsid w:val="0096483A"/>
    <w:rsid w:val="00965FD2"/>
    <w:rsid w:val="00966190"/>
    <w:rsid w:val="009669E8"/>
    <w:rsid w:val="00966BAA"/>
    <w:rsid w:val="00966DE3"/>
    <w:rsid w:val="00967001"/>
    <w:rsid w:val="009673A1"/>
    <w:rsid w:val="0096769C"/>
    <w:rsid w:val="00967B6B"/>
    <w:rsid w:val="00970052"/>
    <w:rsid w:val="0097080E"/>
    <w:rsid w:val="009713B4"/>
    <w:rsid w:val="009715E8"/>
    <w:rsid w:val="0097181E"/>
    <w:rsid w:val="00971BBF"/>
    <w:rsid w:val="00971C0E"/>
    <w:rsid w:val="00971CCE"/>
    <w:rsid w:val="00971D1D"/>
    <w:rsid w:val="00971D73"/>
    <w:rsid w:val="00972379"/>
    <w:rsid w:val="00974185"/>
    <w:rsid w:val="00974E0F"/>
    <w:rsid w:val="0097564C"/>
    <w:rsid w:val="00975AEA"/>
    <w:rsid w:val="00977110"/>
    <w:rsid w:val="00977344"/>
    <w:rsid w:val="00977665"/>
    <w:rsid w:val="0097785D"/>
    <w:rsid w:val="009800A4"/>
    <w:rsid w:val="00980B31"/>
    <w:rsid w:val="00981376"/>
    <w:rsid w:val="00981A9B"/>
    <w:rsid w:val="00981B3A"/>
    <w:rsid w:val="00981C47"/>
    <w:rsid w:val="00981CD6"/>
    <w:rsid w:val="009820DF"/>
    <w:rsid w:val="0098240F"/>
    <w:rsid w:val="00982617"/>
    <w:rsid w:val="009830A1"/>
    <w:rsid w:val="00983664"/>
    <w:rsid w:val="00983ED8"/>
    <w:rsid w:val="00984A9F"/>
    <w:rsid w:val="00985493"/>
    <w:rsid w:val="00985518"/>
    <w:rsid w:val="009858BF"/>
    <w:rsid w:val="009862B3"/>
    <w:rsid w:val="00986699"/>
    <w:rsid w:val="00986DF3"/>
    <w:rsid w:val="009879D0"/>
    <w:rsid w:val="00987EDA"/>
    <w:rsid w:val="00990953"/>
    <w:rsid w:val="00991451"/>
    <w:rsid w:val="00991955"/>
    <w:rsid w:val="00991AA8"/>
    <w:rsid w:val="00991B3B"/>
    <w:rsid w:val="00991D44"/>
    <w:rsid w:val="00991D79"/>
    <w:rsid w:val="00991DC5"/>
    <w:rsid w:val="00992570"/>
    <w:rsid w:val="00992A99"/>
    <w:rsid w:val="00992C1B"/>
    <w:rsid w:val="009933C1"/>
    <w:rsid w:val="00993CBD"/>
    <w:rsid w:val="00993D16"/>
    <w:rsid w:val="0099412B"/>
    <w:rsid w:val="00994B4F"/>
    <w:rsid w:val="00995403"/>
    <w:rsid w:val="009955FB"/>
    <w:rsid w:val="00995E7E"/>
    <w:rsid w:val="0099754D"/>
    <w:rsid w:val="00997965"/>
    <w:rsid w:val="009A00E5"/>
    <w:rsid w:val="009A06BB"/>
    <w:rsid w:val="009A0795"/>
    <w:rsid w:val="009A08DA"/>
    <w:rsid w:val="009A0B7B"/>
    <w:rsid w:val="009A13B6"/>
    <w:rsid w:val="009A1949"/>
    <w:rsid w:val="009A1BAF"/>
    <w:rsid w:val="009A1DFB"/>
    <w:rsid w:val="009A1FCD"/>
    <w:rsid w:val="009A1FF2"/>
    <w:rsid w:val="009A20E2"/>
    <w:rsid w:val="009A2F6A"/>
    <w:rsid w:val="009A3986"/>
    <w:rsid w:val="009A3EF5"/>
    <w:rsid w:val="009A42AB"/>
    <w:rsid w:val="009A4588"/>
    <w:rsid w:val="009A4593"/>
    <w:rsid w:val="009A49F9"/>
    <w:rsid w:val="009A4BD1"/>
    <w:rsid w:val="009A4D40"/>
    <w:rsid w:val="009A4F49"/>
    <w:rsid w:val="009A5511"/>
    <w:rsid w:val="009A555D"/>
    <w:rsid w:val="009A6317"/>
    <w:rsid w:val="009A633C"/>
    <w:rsid w:val="009A7683"/>
    <w:rsid w:val="009A773F"/>
    <w:rsid w:val="009A7F0B"/>
    <w:rsid w:val="009A7F97"/>
    <w:rsid w:val="009B0142"/>
    <w:rsid w:val="009B0C41"/>
    <w:rsid w:val="009B0F13"/>
    <w:rsid w:val="009B16BC"/>
    <w:rsid w:val="009B191B"/>
    <w:rsid w:val="009B1AC6"/>
    <w:rsid w:val="009B212B"/>
    <w:rsid w:val="009B213C"/>
    <w:rsid w:val="009B248A"/>
    <w:rsid w:val="009B2D80"/>
    <w:rsid w:val="009B2F12"/>
    <w:rsid w:val="009B3049"/>
    <w:rsid w:val="009B3429"/>
    <w:rsid w:val="009B35EF"/>
    <w:rsid w:val="009B3828"/>
    <w:rsid w:val="009B3C30"/>
    <w:rsid w:val="009B47CE"/>
    <w:rsid w:val="009B4B97"/>
    <w:rsid w:val="009B4CE4"/>
    <w:rsid w:val="009B52F0"/>
    <w:rsid w:val="009B5744"/>
    <w:rsid w:val="009B5816"/>
    <w:rsid w:val="009B5E60"/>
    <w:rsid w:val="009B6732"/>
    <w:rsid w:val="009B681A"/>
    <w:rsid w:val="009B6FC5"/>
    <w:rsid w:val="009B71BB"/>
    <w:rsid w:val="009B7664"/>
    <w:rsid w:val="009C02BE"/>
    <w:rsid w:val="009C035A"/>
    <w:rsid w:val="009C0956"/>
    <w:rsid w:val="009C0A26"/>
    <w:rsid w:val="009C0BBD"/>
    <w:rsid w:val="009C0D4B"/>
    <w:rsid w:val="009C0EC8"/>
    <w:rsid w:val="009C0FEA"/>
    <w:rsid w:val="009C1282"/>
    <w:rsid w:val="009C1742"/>
    <w:rsid w:val="009C1DF8"/>
    <w:rsid w:val="009C2406"/>
    <w:rsid w:val="009C24C5"/>
    <w:rsid w:val="009C32BA"/>
    <w:rsid w:val="009C3602"/>
    <w:rsid w:val="009C4385"/>
    <w:rsid w:val="009C44B1"/>
    <w:rsid w:val="009C48E2"/>
    <w:rsid w:val="009C4D49"/>
    <w:rsid w:val="009C5ABB"/>
    <w:rsid w:val="009C61A9"/>
    <w:rsid w:val="009C659C"/>
    <w:rsid w:val="009C6E07"/>
    <w:rsid w:val="009C6FAC"/>
    <w:rsid w:val="009C6FB9"/>
    <w:rsid w:val="009C712D"/>
    <w:rsid w:val="009C7141"/>
    <w:rsid w:val="009C767E"/>
    <w:rsid w:val="009D2418"/>
    <w:rsid w:val="009D3253"/>
    <w:rsid w:val="009D3AB3"/>
    <w:rsid w:val="009D3DA8"/>
    <w:rsid w:val="009D3DF8"/>
    <w:rsid w:val="009D3F27"/>
    <w:rsid w:val="009D461B"/>
    <w:rsid w:val="009D4755"/>
    <w:rsid w:val="009D4E12"/>
    <w:rsid w:val="009D4E72"/>
    <w:rsid w:val="009D50F8"/>
    <w:rsid w:val="009D5476"/>
    <w:rsid w:val="009D58EE"/>
    <w:rsid w:val="009D5A2C"/>
    <w:rsid w:val="009D5B37"/>
    <w:rsid w:val="009D64CD"/>
    <w:rsid w:val="009D6BFB"/>
    <w:rsid w:val="009D6CB7"/>
    <w:rsid w:val="009D70AE"/>
    <w:rsid w:val="009D757A"/>
    <w:rsid w:val="009D7FAB"/>
    <w:rsid w:val="009E00AC"/>
    <w:rsid w:val="009E0661"/>
    <w:rsid w:val="009E0C89"/>
    <w:rsid w:val="009E0CD5"/>
    <w:rsid w:val="009E1042"/>
    <w:rsid w:val="009E1D6D"/>
    <w:rsid w:val="009E1EEC"/>
    <w:rsid w:val="009E23FB"/>
    <w:rsid w:val="009E257E"/>
    <w:rsid w:val="009E344F"/>
    <w:rsid w:val="009E35AB"/>
    <w:rsid w:val="009E47F9"/>
    <w:rsid w:val="009E49E1"/>
    <w:rsid w:val="009E51C3"/>
    <w:rsid w:val="009E5375"/>
    <w:rsid w:val="009E6274"/>
    <w:rsid w:val="009E6978"/>
    <w:rsid w:val="009E70AE"/>
    <w:rsid w:val="009E7654"/>
    <w:rsid w:val="009E77BD"/>
    <w:rsid w:val="009F0283"/>
    <w:rsid w:val="009F08A6"/>
    <w:rsid w:val="009F0FF4"/>
    <w:rsid w:val="009F1326"/>
    <w:rsid w:val="009F1486"/>
    <w:rsid w:val="009F1A53"/>
    <w:rsid w:val="009F1C1F"/>
    <w:rsid w:val="009F237A"/>
    <w:rsid w:val="009F23BE"/>
    <w:rsid w:val="009F2FEF"/>
    <w:rsid w:val="009F3133"/>
    <w:rsid w:val="009F347A"/>
    <w:rsid w:val="009F41D8"/>
    <w:rsid w:val="009F463A"/>
    <w:rsid w:val="009F47B9"/>
    <w:rsid w:val="009F490F"/>
    <w:rsid w:val="009F5068"/>
    <w:rsid w:val="009F53C7"/>
    <w:rsid w:val="009F59BE"/>
    <w:rsid w:val="009F5E51"/>
    <w:rsid w:val="009F61B0"/>
    <w:rsid w:val="009F62B5"/>
    <w:rsid w:val="009F6DF2"/>
    <w:rsid w:val="009F6E81"/>
    <w:rsid w:val="009F6E9C"/>
    <w:rsid w:val="009F7A46"/>
    <w:rsid w:val="00A002FD"/>
    <w:rsid w:val="00A00A3B"/>
    <w:rsid w:val="00A00BEB"/>
    <w:rsid w:val="00A00C99"/>
    <w:rsid w:val="00A01AD8"/>
    <w:rsid w:val="00A01D6B"/>
    <w:rsid w:val="00A01E5F"/>
    <w:rsid w:val="00A022E5"/>
    <w:rsid w:val="00A025FF"/>
    <w:rsid w:val="00A0293B"/>
    <w:rsid w:val="00A02DE1"/>
    <w:rsid w:val="00A03B78"/>
    <w:rsid w:val="00A03E37"/>
    <w:rsid w:val="00A043EE"/>
    <w:rsid w:val="00A0451D"/>
    <w:rsid w:val="00A04C16"/>
    <w:rsid w:val="00A05883"/>
    <w:rsid w:val="00A05ED8"/>
    <w:rsid w:val="00A06024"/>
    <w:rsid w:val="00A06194"/>
    <w:rsid w:val="00A070D3"/>
    <w:rsid w:val="00A071B5"/>
    <w:rsid w:val="00A07708"/>
    <w:rsid w:val="00A101D0"/>
    <w:rsid w:val="00A10AE4"/>
    <w:rsid w:val="00A11373"/>
    <w:rsid w:val="00A116D2"/>
    <w:rsid w:val="00A11BB8"/>
    <w:rsid w:val="00A11FE6"/>
    <w:rsid w:val="00A1278F"/>
    <w:rsid w:val="00A128E0"/>
    <w:rsid w:val="00A12BC9"/>
    <w:rsid w:val="00A13670"/>
    <w:rsid w:val="00A13E31"/>
    <w:rsid w:val="00A14871"/>
    <w:rsid w:val="00A14B39"/>
    <w:rsid w:val="00A14D3C"/>
    <w:rsid w:val="00A14E33"/>
    <w:rsid w:val="00A14EE1"/>
    <w:rsid w:val="00A152B7"/>
    <w:rsid w:val="00A1531A"/>
    <w:rsid w:val="00A156CA"/>
    <w:rsid w:val="00A15B9B"/>
    <w:rsid w:val="00A16215"/>
    <w:rsid w:val="00A16829"/>
    <w:rsid w:val="00A16C00"/>
    <w:rsid w:val="00A16DA8"/>
    <w:rsid w:val="00A1737A"/>
    <w:rsid w:val="00A1776E"/>
    <w:rsid w:val="00A17A89"/>
    <w:rsid w:val="00A17E29"/>
    <w:rsid w:val="00A17FB9"/>
    <w:rsid w:val="00A200AA"/>
    <w:rsid w:val="00A203D1"/>
    <w:rsid w:val="00A2062E"/>
    <w:rsid w:val="00A20669"/>
    <w:rsid w:val="00A20F1C"/>
    <w:rsid w:val="00A21332"/>
    <w:rsid w:val="00A21A97"/>
    <w:rsid w:val="00A231A9"/>
    <w:rsid w:val="00A23EDD"/>
    <w:rsid w:val="00A24194"/>
    <w:rsid w:val="00A2428D"/>
    <w:rsid w:val="00A24608"/>
    <w:rsid w:val="00A24A50"/>
    <w:rsid w:val="00A24B78"/>
    <w:rsid w:val="00A24D49"/>
    <w:rsid w:val="00A25896"/>
    <w:rsid w:val="00A25DD3"/>
    <w:rsid w:val="00A26CF9"/>
    <w:rsid w:val="00A26E17"/>
    <w:rsid w:val="00A26E7F"/>
    <w:rsid w:val="00A27746"/>
    <w:rsid w:val="00A3128D"/>
    <w:rsid w:val="00A313FA"/>
    <w:rsid w:val="00A31535"/>
    <w:rsid w:val="00A318EC"/>
    <w:rsid w:val="00A31A19"/>
    <w:rsid w:val="00A31EDE"/>
    <w:rsid w:val="00A31F5A"/>
    <w:rsid w:val="00A31F90"/>
    <w:rsid w:val="00A3233B"/>
    <w:rsid w:val="00A325F4"/>
    <w:rsid w:val="00A32BDA"/>
    <w:rsid w:val="00A32C39"/>
    <w:rsid w:val="00A32EC4"/>
    <w:rsid w:val="00A32FD1"/>
    <w:rsid w:val="00A336B5"/>
    <w:rsid w:val="00A33994"/>
    <w:rsid w:val="00A35390"/>
    <w:rsid w:val="00A3550E"/>
    <w:rsid w:val="00A3568D"/>
    <w:rsid w:val="00A36062"/>
    <w:rsid w:val="00A3645E"/>
    <w:rsid w:val="00A364BA"/>
    <w:rsid w:val="00A37101"/>
    <w:rsid w:val="00A3749F"/>
    <w:rsid w:val="00A37B91"/>
    <w:rsid w:val="00A400BA"/>
    <w:rsid w:val="00A4019B"/>
    <w:rsid w:val="00A40A51"/>
    <w:rsid w:val="00A410D7"/>
    <w:rsid w:val="00A41901"/>
    <w:rsid w:val="00A4190F"/>
    <w:rsid w:val="00A41BDE"/>
    <w:rsid w:val="00A41DE7"/>
    <w:rsid w:val="00A421AA"/>
    <w:rsid w:val="00A42718"/>
    <w:rsid w:val="00A42FA8"/>
    <w:rsid w:val="00A430AC"/>
    <w:rsid w:val="00A43159"/>
    <w:rsid w:val="00A43D52"/>
    <w:rsid w:val="00A444BC"/>
    <w:rsid w:val="00A4543C"/>
    <w:rsid w:val="00A458B7"/>
    <w:rsid w:val="00A45A17"/>
    <w:rsid w:val="00A45BA8"/>
    <w:rsid w:val="00A45CA8"/>
    <w:rsid w:val="00A45CF1"/>
    <w:rsid w:val="00A45E66"/>
    <w:rsid w:val="00A46132"/>
    <w:rsid w:val="00A4621A"/>
    <w:rsid w:val="00A4669C"/>
    <w:rsid w:val="00A46884"/>
    <w:rsid w:val="00A46A48"/>
    <w:rsid w:val="00A46AE1"/>
    <w:rsid w:val="00A46E55"/>
    <w:rsid w:val="00A4710D"/>
    <w:rsid w:val="00A47CCE"/>
    <w:rsid w:val="00A47F42"/>
    <w:rsid w:val="00A501E3"/>
    <w:rsid w:val="00A50662"/>
    <w:rsid w:val="00A50908"/>
    <w:rsid w:val="00A51B19"/>
    <w:rsid w:val="00A52027"/>
    <w:rsid w:val="00A52536"/>
    <w:rsid w:val="00A528DA"/>
    <w:rsid w:val="00A52977"/>
    <w:rsid w:val="00A53165"/>
    <w:rsid w:val="00A54253"/>
    <w:rsid w:val="00A54F45"/>
    <w:rsid w:val="00A5507F"/>
    <w:rsid w:val="00A552DC"/>
    <w:rsid w:val="00A557D2"/>
    <w:rsid w:val="00A55C6C"/>
    <w:rsid w:val="00A55C74"/>
    <w:rsid w:val="00A55FA3"/>
    <w:rsid w:val="00A5618D"/>
    <w:rsid w:val="00A562BB"/>
    <w:rsid w:val="00A566E8"/>
    <w:rsid w:val="00A56756"/>
    <w:rsid w:val="00A56B96"/>
    <w:rsid w:val="00A56C5E"/>
    <w:rsid w:val="00A56D70"/>
    <w:rsid w:val="00A5747F"/>
    <w:rsid w:val="00A57726"/>
    <w:rsid w:val="00A579AF"/>
    <w:rsid w:val="00A6029F"/>
    <w:rsid w:val="00A6048E"/>
    <w:rsid w:val="00A607E8"/>
    <w:rsid w:val="00A60842"/>
    <w:rsid w:val="00A60B5F"/>
    <w:rsid w:val="00A60BA8"/>
    <w:rsid w:val="00A60BDF"/>
    <w:rsid w:val="00A60E18"/>
    <w:rsid w:val="00A612AD"/>
    <w:rsid w:val="00A61624"/>
    <w:rsid w:val="00A617B9"/>
    <w:rsid w:val="00A61886"/>
    <w:rsid w:val="00A619E0"/>
    <w:rsid w:val="00A6205E"/>
    <w:rsid w:val="00A624E1"/>
    <w:rsid w:val="00A6286C"/>
    <w:rsid w:val="00A62F01"/>
    <w:rsid w:val="00A636C3"/>
    <w:rsid w:val="00A63ADB"/>
    <w:rsid w:val="00A646F8"/>
    <w:rsid w:val="00A6481B"/>
    <w:rsid w:val="00A64A0C"/>
    <w:rsid w:val="00A657AE"/>
    <w:rsid w:val="00A67286"/>
    <w:rsid w:val="00A679B0"/>
    <w:rsid w:val="00A67CB1"/>
    <w:rsid w:val="00A71D18"/>
    <w:rsid w:val="00A71FE3"/>
    <w:rsid w:val="00A724AA"/>
    <w:rsid w:val="00A725F5"/>
    <w:rsid w:val="00A72EB5"/>
    <w:rsid w:val="00A72F2F"/>
    <w:rsid w:val="00A73846"/>
    <w:rsid w:val="00A73B2D"/>
    <w:rsid w:val="00A74047"/>
    <w:rsid w:val="00A7431B"/>
    <w:rsid w:val="00A74529"/>
    <w:rsid w:val="00A7458C"/>
    <w:rsid w:val="00A7479A"/>
    <w:rsid w:val="00A7503E"/>
    <w:rsid w:val="00A7571E"/>
    <w:rsid w:val="00A771FD"/>
    <w:rsid w:val="00A77B15"/>
    <w:rsid w:val="00A809AD"/>
    <w:rsid w:val="00A810FC"/>
    <w:rsid w:val="00A8141A"/>
    <w:rsid w:val="00A81477"/>
    <w:rsid w:val="00A816E5"/>
    <w:rsid w:val="00A81A41"/>
    <w:rsid w:val="00A8243A"/>
    <w:rsid w:val="00A8273D"/>
    <w:rsid w:val="00A82AEA"/>
    <w:rsid w:val="00A82F37"/>
    <w:rsid w:val="00A8429C"/>
    <w:rsid w:val="00A84976"/>
    <w:rsid w:val="00A84C2A"/>
    <w:rsid w:val="00A85BCA"/>
    <w:rsid w:val="00A86221"/>
    <w:rsid w:val="00A866B2"/>
    <w:rsid w:val="00A87419"/>
    <w:rsid w:val="00A87780"/>
    <w:rsid w:val="00A87C0F"/>
    <w:rsid w:val="00A901D2"/>
    <w:rsid w:val="00A903F7"/>
    <w:rsid w:val="00A90518"/>
    <w:rsid w:val="00A90C60"/>
    <w:rsid w:val="00A90D15"/>
    <w:rsid w:val="00A90E65"/>
    <w:rsid w:val="00A90F98"/>
    <w:rsid w:val="00A910BC"/>
    <w:rsid w:val="00A91286"/>
    <w:rsid w:val="00A91452"/>
    <w:rsid w:val="00A92B6B"/>
    <w:rsid w:val="00A930F7"/>
    <w:rsid w:val="00A934BF"/>
    <w:rsid w:val="00A935F0"/>
    <w:rsid w:val="00A93A87"/>
    <w:rsid w:val="00A93AF2"/>
    <w:rsid w:val="00A940DB"/>
    <w:rsid w:val="00A943F5"/>
    <w:rsid w:val="00A9473E"/>
    <w:rsid w:val="00A95B5E"/>
    <w:rsid w:val="00A960C8"/>
    <w:rsid w:val="00A96125"/>
    <w:rsid w:val="00A96BA6"/>
    <w:rsid w:val="00A97106"/>
    <w:rsid w:val="00A9747C"/>
    <w:rsid w:val="00A97A9D"/>
    <w:rsid w:val="00A97E15"/>
    <w:rsid w:val="00AA0480"/>
    <w:rsid w:val="00AA0749"/>
    <w:rsid w:val="00AA07B9"/>
    <w:rsid w:val="00AA0A1F"/>
    <w:rsid w:val="00AA1115"/>
    <w:rsid w:val="00AA1141"/>
    <w:rsid w:val="00AA14D3"/>
    <w:rsid w:val="00AA1545"/>
    <w:rsid w:val="00AA191C"/>
    <w:rsid w:val="00AA2059"/>
    <w:rsid w:val="00AA2947"/>
    <w:rsid w:val="00AA2EF1"/>
    <w:rsid w:val="00AA32FF"/>
    <w:rsid w:val="00AA3662"/>
    <w:rsid w:val="00AA38E4"/>
    <w:rsid w:val="00AA3CE8"/>
    <w:rsid w:val="00AA3D3B"/>
    <w:rsid w:val="00AA3F7D"/>
    <w:rsid w:val="00AA43C2"/>
    <w:rsid w:val="00AA4890"/>
    <w:rsid w:val="00AA4B4D"/>
    <w:rsid w:val="00AA4C45"/>
    <w:rsid w:val="00AA534A"/>
    <w:rsid w:val="00AA559B"/>
    <w:rsid w:val="00AA5E29"/>
    <w:rsid w:val="00AA5F63"/>
    <w:rsid w:val="00AA64F3"/>
    <w:rsid w:val="00AA6DAF"/>
    <w:rsid w:val="00AA6F5F"/>
    <w:rsid w:val="00AA6FE1"/>
    <w:rsid w:val="00AA712D"/>
    <w:rsid w:val="00AA7716"/>
    <w:rsid w:val="00AA7803"/>
    <w:rsid w:val="00AA7995"/>
    <w:rsid w:val="00AA7E27"/>
    <w:rsid w:val="00AA7E6C"/>
    <w:rsid w:val="00AA7EA5"/>
    <w:rsid w:val="00AA7FE0"/>
    <w:rsid w:val="00AA7FF2"/>
    <w:rsid w:val="00AB15C2"/>
    <w:rsid w:val="00AB1621"/>
    <w:rsid w:val="00AB198F"/>
    <w:rsid w:val="00AB1AF7"/>
    <w:rsid w:val="00AB1BE1"/>
    <w:rsid w:val="00AB1CC2"/>
    <w:rsid w:val="00AB1F39"/>
    <w:rsid w:val="00AB2244"/>
    <w:rsid w:val="00AB2402"/>
    <w:rsid w:val="00AB26F2"/>
    <w:rsid w:val="00AB3F90"/>
    <w:rsid w:val="00AB4988"/>
    <w:rsid w:val="00AB4B7A"/>
    <w:rsid w:val="00AB52CB"/>
    <w:rsid w:val="00AB58E8"/>
    <w:rsid w:val="00AB5AFA"/>
    <w:rsid w:val="00AB5CFD"/>
    <w:rsid w:val="00AB5EAC"/>
    <w:rsid w:val="00AB5F40"/>
    <w:rsid w:val="00AB5F50"/>
    <w:rsid w:val="00AB6297"/>
    <w:rsid w:val="00AB69CE"/>
    <w:rsid w:val="00AB6DED"/>
    <w:rsid w:val="00AB762C"/>
    <w:rsid w:val="00AB7DD7"/>
    <w:rsid w:val="00AC0110"/>
    <w:rsid w:val="00AC0A3F"/>
    <w:rsid w:val="00AC1891"/>
    <w:rsid w:val="00AC1A77"/>
    <w:rsid w:val="00AC1FFA"/>
    <w:rsid w:val="00AC2339"/>
    <w:rsid w:val="00AC23F7"/>
    <w:rsid w:val="00AC2402"/>
    <w:rsid w:val="00AC481A"/>
    <w:rsid w:val="00AC48E0"/>
    <w:rsid w:val="00AC4C90"/>
    <w:rsid w:val="00AC4E5D"/>
    <w:rsid w:val="00AC50F5"/>
    <w:rsid w:val="00AC58F5"/>
    <w:rsid w:val="00AC7228"/>
    <w:rsid w:val="00AC74C3"/>
    <w:rsid w:val="00AC7525"/>
    <w:rsid w:val="00AC7AAE"/>
    <w:rsid w:val="00AC7BFE"/>
    <w:rsid w:val="00AC7E0A"/>
    <w:rsid w:val="00AD00CA"/>
    <w:rsid w:val="00AD0C67"/>
    <w:rsid w:val="00AD15DB"/>
    <w:rsid w:val="00AD162D"/>
    <w:rsid w:val="00AD180D"/>
    <w:rsid w:val="00AD203F"/>
    <w:rsid w:val="00AD2CAE"/>
    <w:rsid w:val="00AD3438"/>
    <w:rsid w:val="00AD34D6"/>
    <w:rsid w:val="00AD3821"/>
    <w:rsid w:val="00AD39CD"/>
    <w:rsid w:val="00AD3AED"/>
    <w:rsid w:val="00AD477E"/>
    <w:rsid w:val="00AD49E4"/>
    <w:rsid w:val="00AD4A7D"/>
    <w:rsid w:val="00AD4BFB"/>
    <w:rsid w:val="00AD54A3"/>
    <w:rsid w:val="00AD6774"/>
    <w:rsid w:val="00AD6785"/>
    <w:rsid w:val="00AD722E"/>
    <w:rsid w:val="00AD7716"/>
    <w:rsid w:val="00AD7E18"/>
    <w:rsid w:val="00AE0642"/>
    <w:rsid w:val="00AE0ADD"/>
    <w:rsid w:val="00AE1E95"/>
    <w:rsid w:val="00AE20E3"/>
    <w:rsid w:val="00AE2464"/>
    <w:rsid w:val="00AE248E"/>
    <w:rsid w:val="00AE256F"/>
    <w:rsid w:val="00AE26EC"/>
    <w:rsid w:val="00AE2F20"/>
    <w:rsid w:val="00AE2F65"/>
    <w:rsid w:val="00AE353D"/>
    <w:rsid w:val="00AE3587"/>
    <w:rsid w:val="00AE3614"/>
    <w:rsid w:val="00AE3782"/>
    <w:rsid w:val="00AE3C47"/>
    <w:rsid w:val="00AE3EEA"/>
    <w:rsid w:val="00AE43D1"/>
    <w:rsid w:val="00AE5629"/>
    <w:rsid w:val="00AE5711"/>
    <w:rsid w:val="00AE5AD5"/>
    <w:rsid w:val="00AE5AF4"/>
    <w:rsid w:val="00AE5DD2"/>
    <w:rsid w:val="00AE77F7"/>
    <w:rsid w:val="00AE7851"/>
    <w:rsid w:val="00AE7903"/>
    <w:rsid w:val="00AE7A9E"/>
    <w:rsid w:val="00AE7C3E"/>
    <w:rsid w:val="00AF084F"/>
    <w:rsid w:val="00AF087D"/>
    <w:rsid w:val="00AF1C6E"/>
    <w:rsid w:val="00AF1D05"/>
    <w:rsid w:val="00AF2982"/>
    <w:rsid w:val="00AF2DF5"/>
    <w:rsid w:val="00AF3B6E"/>
    <w:rsid w:val="00AF460E"/>
    <w:rsid w:val="00AF4955"/>
    <w:rsid w:val="00AF51D8"/>
    <w:rsid w:val="00AF5282"/>
    <w:rsid w:val="00AF52BF"/>
    <w:rsid w:val="00AF532B"/>
    <w:rsid w:val="00AF56C2"/>
    <w:rsid w:val="00AF5B53"/>
    <w:rsid w:val="00AF6DD1"/>
    <w:rsid w:val="00AF7243"/>
    <w:rsid w:val="00B0010C"/>
    <w:rsid w:val="00B0085B"/>
    <w:rsid w:val="00B00937"/>
    <w:rsid w:val="00B00C20"/>
    <w:rsid w:val="00B00F17"/>
    <w:rsid w:val="00B01088"/>
    <w:rsid w:val="00B01BC0"/>
    <w:rsid w:val="00B01F55"/>
    <w:rsid w:val="00B02B53"/>
    <w:rsid w:val="00B02BFB"/>
    <w:rsid w:val="00B02FEB"/>
    <w:rsid w:val="00B032D0"/>
    <w:rsid w:val="00B035B4"/>
    <w:rsid w:val="00B03EE9"/>
    <w:rsid w:val="00B048CA"/>
    <w:rsid w:val="00B04A88"/>
    <w:rsid w:val="00B04CCA"/>
    <w:rsid w:val="00B05411"/>
    <w:rsid w:val="00B06633"/>
    <w:rsid w:val="00B07ABF"/>
    <w:rsid w:val="00B1018D"/>
    <w:rsid w:val="00B107A0"/>
    <w:rsid w:val="00B10D60"/>
    <w:rsid w:val="00B111E7"/>
    <w:rsid w:val="00B11DE0"/>
    <w:rsid w:val="00B12644"/>
    <w:rsid w:val="00B1299D"/>
    <w:rsid w:val="00B129BE"/>
    <w:rsid w:val="00B12A3F"/>
    <w:rsid w:val="00B12BE3"/>
    <w:rsid w:val="00B12C49"/>
    <w:rsid w:val="00B12FD7"/>
    <w:rsid w:val="00B14405"/>
    <w:rsid w:val="00B14802"/>
    <w:rsid w:val="00B14AA2"/>
    <w:rsid w:val="00B14CCE"/>
    <w:rsid w:val="00B14F85"/>
    <w:rsid w:val="00B14F87"/>
    <w:rsid w:val="00B14FE3"/>
    <w:rsid w:val="00B15438"/>
    <w:rsid w:val="00B15542"/>
    <w:rsid w:val="00B1577D"/>
    <w:rsid w:val="00B15A4B"/>
    <w:rsid w:val="00B16597"/>
    <w:rsid w:val="00B16969"/>
    <w:rsid w:val="00B16CA3"/>
    <w:rsid w:val="00B16CE0"/>
    <w:rsid w:val="00B17267"/>
    <w:rsid w:val="00B176BF"/>
    <w:rsid w:val="00B17865"/>
    <w:rsid w:val="00B17AA1"/>
    <w:rsid w:val="00B17AB7"/>
    <w:rsid w:val="00B17E05"/>
    <w:rsid w:val="00B17E39"/>
    <w:rsid w:val="00B20699"/>
    <w:rsid w:val="00B20ADC"/>
    <w:rsid w:val="00B21976"/>
    <w:rsid w:val="00B21F7A"/>
    <w:rsid w:val="00B21F9A"/>
    <w:rsid w:val="00B221AD"/>
    <w:rsid w:val="00B22635"/>
    <w:rsid w:val="00B23B52"/>
    <w:rsid w:val="00B24ACB"/>
    <w:rsid w:val="00B25087"/>
    <w:rsid w:val="00B25844"/>
    <w:rsid w:val="00B25B71"/>
    <w:rsid w:val="00B25C5F"/>
    <w:rsid w:val="00B25CDA"/>
    <w:rsid w:val="00B264A4"/>
    <w:rsid w:val="00B265B7"/>
    <w:rsid w:val="00B27D86"/>
    <w:rsid w:val="00B307AB"/>
    <w:rsid w:val="00B31E07"/>
    <w:rsid w:val="00B32808"/>
    <w:rsid w:val="00B3309A"/>
    <w:rsid w:val="00B332BB"/>
    <w:rsid w:val="00B334B6"/>
    <w:rsid w:val="00B3367B"/>
    <w:rsid w:val="00B33A5F"/>
    <w:rsid w:val="00B33FD1"/>
    <w:rsid w:val="00B34BE1"/>
    <w:rsid w:val="00B34D12"/>
    <w:rsid w:val="00B36456"/>
    <w:rsid w:val="00B3647A"/>
    <w:rsid w:val="00B36F9C"/>
    <w:rsid w:val="00B3701F"/>
    <w:rsid w:val="00B37600"/>
    <w:rsid w:val="00B40BF8"/>
    <w:rsid w:val="00B40E30"/>
    <w:rsid w:val="00B41673"/>
    <w:rsid w:val="00B41D19"/>
    <w:rsid w:val="00B422FB"/>
    <w:rsid w:val="00B425EC"/>
    <w:rsid w:val="00B43784"/>
    <w:rsid w:val="00B439E2"/>
    <w:rsid w:val="00B44401"/>
    <w:rsid w:val="00B44B58"/>
    <w:rsid w:val="00B451FA"/>
    <w:rsid w:val="00B45A1F"/>
    <w:rsid w:val="00B4689F"/>
    <w:rsid w:val="00B46943"/>
    <w:rsid w:val="00B46CCD"/>
    <w:rsid w:val="00B4754D"/>
    <w:rsid w:val="00B476E0"/>
    <w:rsid w:val="00B47BF9"/>
    <w:rsid w:val="00B47EE2"/>
    <w:rsid w:val="00B501B9"/>
    <w:rsid w:val="00B50767"/>
    <w:rsid w:val="00B50B60"/>
    <w:rsid w:val="00B53196"/>
    <w:rsid w:val="00B5337E"/>
    <w:rsid w:val="00B53871"/>
    <w:rsid w:val="00B53A7B"/>
    <w:rsid w:val="00B53C0C"/>
    <w:rsid w:val="00B548A2"/>
    <w:rsid w:val="00B54AED"/>
    <w:rsid w:val="00B54F31"/>
    <w:rsid w:val="00B54F6C"/>
    <w:rsid w:val="00B555F7"/>
    <w:rsid w:val="00B55AC9"/>
    <w:rsid w:val="00B566A4"/>
    <w:rsid w:val="00B56A7F"/>
    <w:rsid w:val="00B56E87"/>
    <w:rsid w:val="00B57466"/>
    <w:rsid w:val="00B5763E"/>
    <w:rsid w:val="00B57E35"/>
    <w:rsid w:val="00B600DC"/>
    <w:rsid w:val="00B60D29"/>
    <w:rsid w:val="00B60FFB"/>
    <w:rsid w:val="00B612A1"/>
    <w:rsid w:val="00B612FA"/>
    <w:rsid w:val="00B61446"/>
    <w:rsid w:val="00B6149A"/>
    <w:rsid w:val="00B62394"/>
    <w:rsid w:val="00B62C9B"/>
    <w:rsid w:val="00B62D96"/>
    <w:rsid w:val="00B62E41"/>
    <w:rsid w:val="00B63366"/>
    <w:rsid w:val="00B633B4"/>
    <w:rsid w:val="00B635C1"/>
    <w:rsid w:val="00B636ED"/>
    <w:rsid w:val="00B63706"/>
    <w:rsid w:val="00B63E5C"/>
    <w:rsid w:val="00B63EDA"/>
    <w:rsid w:val="00B64677"/>
    <w:rsid w:val="00B64E90"/>
    <w:rsid w:val="00B65412"/>
    <w:rsid w:val="00B65517"/>
    <w:rsid w:val="00B65677"/>
    <w:rsid w:val="00B65A2D"/>
    <w:rsid w:val="00B65B7D"/>
    <w:rsid w:val="00B668FF"/>
    <w:rsid w:val="00B672F9"/>
    <w:rsid w:val="00B67885"/>
    <w:rsid w:val="00B67B2F"/>
    <w:rsid w:val="00B701A0"/>
    <w:rsid w:val="00B70784"/>
    <w:rsid w:val="00B70832"/>
    <w:rsid w:val="00B708B0"/>
    <w:rsid w:val="00B70E0C"/>
    <w:rsid w:val="00B718D0"/>
    <w:rsid w:val="00B71C3E"/>
    <w:rsid w:val="00B72540"/>
    <w:rsid w:val="00B728E5"/>
    <w:rsid w:val="00B72B3A"/>
    <w:rsid w:val="00B72BAD"/>
    <w:rsid w:val="00B73886"/>
    <w:rsid w:val="00B738B6"/>
    <w:rsid w:val="00B7446F"/>
    <w:rsid w:val="00B744E4"/>
    <w:rsid w:val="00B74FDF"/>
    <w:rsid w:val="00B75143"/>
    <w:rsid w:val="00B75363"/>
    <w:rsid w:val="00B756B3"/>
    <w:rsid w:val="00B75F97"/>
    <w:rsid w:val="00B760F8"/>
    <w:rsid w:val="00B7651E"/>
    <w:rsid w:val="00B76738"/>
    <w:rsid w:val="00B76914"/>
    <w:rsid w:val="00B76B1E"/>
    <w:rsid w:val="00B76F74"/>
    <w:rsid w:val="00B8045C"/>
    <w:rsid w:val="00B805FF"/>
    <w:rsid w:val="00B80AF2"/>
    <w:rsid w:val="00B80B59"/>
    <w:rsid w:val="00B81274"/>
    <w:rsid w:val="00B81B75"/>
    <w:rsid w:val="00B81C2B"/>
    <w:rsid w:val="00B83CFE"/>
    <w:rsid w:val="00B84AC6"/>
    <w:rsid w:val="00B85696"/>
    <w:rsid w:val="00B85BF2"/>
    <w:rsid w:val="00B85F3F"/>
    <w:rsid w:val="00B865E1"/>
    <w:rsid w:val="00B8661A"/>
    <w:rsid w:val="00B871C9"/>
    <w:rsid w:val="00B87543"/>
    <w:rsid w:val="00B877C5"/>
    <w:rsid w:val="00B87B19"/>
    <w:rsid w:val="00B900E5"/>
    <w:rsid w:val="00B90104"/>
    <w:rsid w:val="00B905B0"/>
    <w:rsid w:val="00B90A6D"/>
    <w:rsid w:val="00B91356"/>
    <w:rsid w:val="00B91400"/>
    <w:rsid w:val="00B914AB"/>
    <w:rsid w:val="00B916F4"/>
    <w:rsid w:val="00B91860"/>
    <w:rsid w:val="00B919C6"/>
    <w:rsid w:val="00B92345"/>
    <w:rsid w:val="00B92499"/>
    <w:rsid w:val="00B92629"/>
    <w:rsid w:val="00B92806"/>
    <w:rsid w:val="00B9497F"/>
    <w:rsid w:val="00B94D69"/>
    <w:rsid w:val="00B95D44"/>
    <w:rsid w:val="00B95EB6"/>
    <w:rsid w:val="00B962DB"/>
    <w:rsid w:val="00B965E5"/>
    <w:rsid w:val="00B97657"/>
    <w:rsid w:val="00B97DD8"/>
    <w:rsid w:val="00BA0127"/>
    <w:rsid w:val="00BA0369"/>
    <w:rsid w:val="00BA0819"/>
    <w:rsid w:val="00BA09A1"/>
    <w:rsid w:val="00BA0B38"/>
    <w:rsid w:val="00BA11D1"/>
    <w:rsid w:val="00BA15E8"/>
    <w:rsid w:val="00BA1CE9"/>
    <w:rsid w:val="00BA2355"/>
    <w:rsid w:val="00BA37A8"/>
    <w:rsid w:val="00BA3B01"/>
    <w:rsid w:val="00BA40A2"/>
    <w:rsid w:val="00BA46A0"/>
    <w:rsid w:val="00BA48F6"/>
    <w:rsid w:val="00BA4C01"/>
    <w:rsid w:val="00BA5532"/>
    <w:rsid w:val="00BA55FA"/>
    <w:rsid w:val="00BA5B58"/>
    <w:rsid w:val="00BA5BF3"/>
    <w:rsid w:val="00BA5ED5"/>
    <w:rsid w:val="00BA6147"/>
    <w:rsid w:val="00BA63A8"/>
    <w:rsid w:val="00BA7391"/>
    <w:rsid w:val="00BA7483"/>
    <w:rsid w:val="00BA78F9"/>
    <w:rsid w:val="00BA7B99"/>
    <w:rsid w:val="00BB0A54"/>
    <w:rsid w:val="00BB0C0E"/>
    <w:rsid w:val="00BB1192"/>
    <w:rsid w:val="00BB194C"/>
    <w:rsid w:val="00BB26C0"/>
    <w:rsid w:val="00BB26E7"/>
    <w:rsid w:val="00BB2F3D"/>
    <w:rsid w:val="00BB3308"/>
    <w:rsid w:val="00BB33C0"/>
    <w:rsid w:val="00BB3DF4"/>
    <w:rsid w:val="00BB4975"/>
    <w:rsid w:val="00BB4CB5"/>
    <w:rsid w:val="00BB539F"/>
    <w:rsid w:val="00BB5B3E"/>
    <w:rsid w:val="00BB5E66"/>
    <w:rsid w:val="00BB6128"/>
    <w:rsid w:val="00BB6385"/>
    <w:rsid w:val="00BB652F"/>
    <w:rsid w:val="00BB70BD"/>
    <w:rsid w:val="00BB7224"/>
    <w:rsid w:val="00BB7D41"/>
    <w:rsid w:val="00BC0230"/>
    <w:rsid w:val="00BC128C"/>
    <w:rsid w:val="00BC14FF"/>
    <w:rsid w:val="00BC1548"/>
    <w:rsid w:val="00BC2235"/>
    <w:rsid w:val="00BC2312"/>
    <w:rsid w:val="00BC23CB"/>
    <w:rsid w:val="00BC23F6"/>
    <w:rsid w:val="00BC2B6C"/>
    <w:rsid w:val="00BC2C77"/>
    <w:rsid w:val="00BC2E5A"/>
    <w:rsid w:val="00BC3352"/>
    <w:rsid w:val="00BC3934"/>
    <w:rsid w:val="00BC3BDC"/>
    <w:rsid w:val="00BC4016"/>
    <w:rsid w:val="00BC4040"/>
    <w:rsid w:val="00BC40A7"/>
    <w:rsid w:val="00BC419C"/>
    <w:rsid w:val="00BC4A5B"/>
    <w:rsid w:val="00BC5441"/>
    <w:rsid w:val="00BC55AB"/>
    <w:rsid w:val="00BC59C8"/>
    <w:rsid w:val="00BC5B6F"/>
    <w:rsid w:val="00BC63B3"/>
    <w:rsid w:val="00BC63D4"/>
    <w:rsid w:val="00BC7145"/>
    <w:rsid w:val="00BC716F"/>
    <w:rsid w:val="00BC7DC8"/>
    <w:rsid w:val="00BD05C5"/>
    <w:rsid w:val="00BD067E"/>
    <w:rsid w:val="00BD09FA"/>
    <w:rsid w:val="00BD0FEE"/>
    <w:rsid w:val="00BD100B"/>
    <w:rsid w:val="00BD145F"/>
    <w:rsid w:val="00BD14D9"/>
    <w:rsid w:val="00BD155B"/>
    <w:rsid w:val="00BD2219"/>
    <w:rsid w:val="00BD228C"/>
    <w:rsid w:val="00BD2D7A"/>
    <w:rsid w:val="00BD3758"/>
    <w:rsid w:val="00BD3919"/>
    <w:rsid w:val="00BD3A94"/>
    <w:rsid w:val="00BD3D60"/>
    <w:rsid w:val="00BD45BA"/>
    <w:rsid w:val="00BD4C28"/>
    <w:rsid w:val="00BD50DC"/>
    <w:rsid w:val="00BD5110"/>
    <w:rsid w:val="00BD590A"/>
    <w:rsid w:val="00BD5EB1"/>
    <w:rsid w:val="00BD63A8"/>
    <w:rsid w:val="00BD63AF"/>
    <w:rsid w:val="00BD678B"/>
    <w:rsid w:val="00BD6A97"/>
    <w:rsid w:val="00BD7465"/>
    <w:rsid w:val="00BD7498"/>
    <w:rsid w:val="00BE012A"/>
    <w:rsid w:val="00BE1971"/>
    <w:rsid w:val="00BE1EFD"/>
    <w:rsid w:val="00BE273C"/>
    <w:rsid w:val="00BE2889"/>
    <w:rsid w:val="00BE29C8"/>
    <w:rsid w:val="00BE2D4D"/>
    <w:rsid w:val="00BE2DD5"/>
    <w:rsid w:val="00BE406F"/>
    <w:rsid w:val="00BE4158"/>
    <w:rsid w:val="00BE45D9"/>
    <w:rsid w:val="00BE469D"/>
    <w:rsid w:val="00BE4768"/>
    <w:rsid w:val="00BE4A55"/>
    <w:rsid w:val="00BE4AEB"/>
    <w:rsid w:val="00BE4DD0"/>
    <w:rsid w:val="00BE521B"/>
    <w:rsid w:val="00BE61BB"/>
    <w:rsid w:val="00BE6C1D"/>
    <w:rsid w:val="00BE7DC9"/>
    <w:rsid w:val="00BF0852"/>
    <w:rsid w:val="00BF1002"/>
    <w:rsid w:val="00BF1721"/>
    <w:rsid w:val="00BF1754"/>
    <w:rsid w:val="00BF1ECB"/>
    <w:rsid w:val="00BF1FD1"/>
    <w:rsid w:val="00BF31AD"/>
    <w:rsid w:val="00BF3319"/>
    <w:rsid w:val="00BF348B"/>
    <w:rsid w:val="00BF3630"/>
    <w:rsid w:val="00BF385B"/>
    <w:rsid w:val="00BF3A52"/>
    <w:rsid w:val="00BF4FD2"/>
    <w:rsid w:val="00BF562E"/>
    <w:rsid w:val="00BF580D"/>
    <w:rsid w:val="00BF5821"/>
    <w:rsid w:val="00BF6597"/>
    <w:rsid w:val="00BF6680"/>
    <w:rsid w:val="00BF6AA1"/>
    <w:rsid w:val="00BF6AD2"/>
    <w:rsid w:val="00BF6B09"/>
    <w:rsid w:val="00C0022E"/>
    <w:rsid w:val="00C005E0"/>
    <w:rsid w:val="00C01CF2"/>
    <w:rsid w:val="00C02665"/>
    <w:rsid w:val="00C031FD"/>
    <w:rsid w:val="00C03C89"/>
    <w:rsid w:val="00C03E80"/>
    <w:rsid w:val="00C03EA4"/>
    <w:rsid w:val="00C03ED4"/>
    <w:rsid w:val="00C03F6A"/>
    <w:rsid w:val="00C04BF3"/>
    <w:rsid w:val="00C05C7A"/>
    <w:rsid w:val="00C0659D"/>
    <w:rsid w:val="00C065B3"/>
    <w:rsid w:val="00C06715"/>
    <w:rsid w:val="00C068BA"/>
    <w:rsid w:val="00C072A5"/>
    <w:rsid w:val="00C07759"/>
    <w:rsid w:val="00C077E8"/>
    <w:rsid w:val="00C07A7D"/>
    <w:rsid w:val="00C07B8B"/>
    <w:rsid w:val="00C106DC"/>
    <w:rsid w:val="00C10790"/>
    <w:rsid w:val="00C1082D"/>
    <w:rsid w:val="00C10DDC"/>
    <w:rsid w:val="00C11B32"/>
    <w:rsid w:val="00C11B3D"/>
    <w:rsid w:val="00C11C2D"/>
    <w:rsid w:val="00C12748"/>
    <w:rsid w:val="00C1310B"/>
    <w:rsid w:val="00C13340"/>
    <w:rsid w:val="00C13CE3"/>
    <w:rsid w:val="00C14B54"/>
    <w:rsid w:val="00C15803"/>
    <w:rsid w:val="00C15C45"/>
    <w:rsid w:val="00C15EEE"/>
    <w:rsid w:val="00C16122"/>
    <w:rsid w:val="00C16460"/>
    <w:rsid w:val="00C164C4"/>
    <w:rsid w:val="00C1718F"/>
    <w:rsid w:val="00C171BF"/>
    <w:rsid w:val="00C17312"/>
    <w:rsid w:val="00C17DDA"/>
    <w:rsid w:val="00C2099F"/>
    <w:rsid w:val="00C20D11"/>
    <w:rsid w:val="00C211DA"/>
    <w:rsid w:val="00C21839"/>
    <w:rsid w:val="00C21DD4"/>
    <w:rsid w:val="00C22177"/>
    <w:rsid w:val="00C22284"/>
    <w:rsid w:val="00C22954"/>
    <w:rsid w:val="00C22BC9"/>
    <w:rsid w:val="00C22E24"/>
    <w:rsid w:val="00C2370C"/>
    <w:rsid w:val="00C23B5E"/>
    <w:rsid w:val="00C23F33"/>
    <w:rsid w:val="00C2425F"/>
    <w:rsid w:val="00C245DE"/>
    <w:rsid w:val="00C24D32"/>
    <w:rsid w:val="00C25377"/>
    <w:rsid w:val="00C25C0C"/>
    <w:rsid w:val="00C25F63"/>
    <w:rsid w:val="00C26105"/>
    <w:rsid w:val="00C261EC"/>
    <w:rsid w:val="00C263B2"/>
    <w:rsid w:val="00C2698F"/>
    <w:rsid w:val="00C2710B"/>
    <w:rsid w:val="00C277F7"/>
    <w:rsid w:val="00C27899"/>
    <w:rsid w:val="00C27CC5"/>
    <w:rsid w:val="00C27F2C"/>
    <w:rsid w:val="00C30455"/>
    <w:rsid w:val="00C31019"/>
    <w:rsid w:val="00C312E5"/>
    <w:rsid w:val="00C31A43"/>
    <w:rsid w:val="00C31D65"/>
    <w:rsid w:val="00C320AE"/>
    <w:rsid w:val="00C32318"/>
    <w:rsid w:val="00C32985"/>
    <w:rsid w:val="00C32A2B"/>
    <w:rsid w:val="00C332CE"/>
    <w:rsid w:val="00C3385E"/>
    <w:rsid w:val="00C33968"/>
    <w:rsid w:val="00C33DC5"/>
    <w:rsid w:val="00C34068"/>
    <w:rsid w:val="00C340E2"/>
    <w:rsid w:val="00C360E3"/>
    <w:rsid w:val="00C36707"/>
    <w:rsid w:val="00C36DE6"/>
    <w:rsid w:val="00C37664"/>
    <w:rsid w:val="00C379CC"/>
    <w:rsid w:val="00C37B05"/>
    <w:rsid w:val="00C40062"/>
    <w:rsid w:val="00C40547"/>
    <w:rsid w:val="00C4062E"/>
    <w:rsid w:val="00C408F3"/>
    <w:rsid w:val="00C40D51"/>
    <w:rsid w:val="00C40E15"/>
    <w:rsid w:val="00C41036"/>
    <w:rsid w:val="00C413C1"/>
    <w:rsid w:val="00C4266E"/>
    <w:rsid w:val="00C43124"/>
    <w:rsid w:val="00C4378B"/>
    <w:rsid w:val="00C438D3"/>
    <w:rsid w:val="00C43E3B"/>
    <w:rsid w:val="00C45298"/>
    <w:rsid w:val="00C455F6"/>
    <w:rsid w:val="00C4586C"/>
    <w:rsid w:val="00C45992"/>
    <w:rsid w:val="00C4611D"/>
    <w:rsid w:val="00C47583"/>
    <w:rsid w:val="00C47690"/>
    <w:rsid w:val="00C47B05"/>
    <w:rsid w:val="00C5011C"/>
    <w:rsid w:val="00C5013F"/>
    <w:rsid w:val="00C502B3"/>
    <w:rsid w:val="00C50FB1"/>
    <w:rsid w:val="00C51332"/>
    <w:rsid w:val="00C513F9"/>
    <w:rsid w:val="00C51BC1"/>
    <w:rsid w:val="00C51CBF"/>
    <w:rsid w:val="00C51EF7"/>
    <w:rsid w:val="00C521B5"/>
    <w:rsid w:val="00C52256"/>
    <w:rsid w:val="00C524F2"/>
    <w:rsid w:val="00C524F5"/>
    <w:rsid w:val="00C527E3"/>
    <w:rsid w:val="00C528D1"/>
    <w:rsid w:val="00C52B85"/>
    <w:rsid w:val="00C52D79"/>
    <w:rsid w:val="00C52E97"/>
    <w:rsid w:val="00C52FF8"/>
    <w:rsid w:val="00C5300D"/>
    <w:rsid w:val="00C5351D"/>
    <w:rsid w:val="00C53744"/>
    <w:rsid w:val="00C53779"/>
    <w:rsid w:val="00C53F87"/>
    <w:rsid w:val="00C54236"/>
    <w:rsid w:val="00C544D9"/>
    <w:rsid w:val="00C558AF"/>
    <w:rsid w:val="00C55CB9"/>
    <w:rsid w:val="00C55D62"/>
    <w:rsid w:val="00C56873"/>
    <w:rsid w:val="00C56990"/>
    <w:rsid w:val="00C56C24"/>
    <w:rsid w:val="00C57518"/>
    <w:rsid w:val="00C576B0"/>
    <w:rsid w:val="00C57E37"/>
    <w:rsid w:val="00C608D5"/>
    <w:rsid w:val="00C60E3C"/>
    <w:rsid w:val="00C60E58"/>
    <w:rsid w:val="00C614FE"/>
    <w:rsid w:val="00C61DCA"/>
    <w:rsid w:val="00C623B4"/>
    <w:rsid w:val="00C624C3"/>
    <w:rsid w:val="00C62806"/>
    <w:rsid w:val="00C62988"/>
    <w:rsid w:val="00C62DAC"/>
    <w:rsid w:val="00C63100"/>
    <w:rsid w:val="00C6343E"/>
    <w:rsid w:val="00C63668"/>
    <w:rsid w:val="00C6439B"/>
    <w:rsid w:val="00C6470A"/>
    <w:rsid w:val="00C64881"/>
    <w:rsid w:val="00C64F1E"/>
    <w:rsid w:val="00C65004"/>
    <w:rsid w:val="00C65464"/>
    <w:rsid w:val="00C6554D"/>
    <w:rsid w:val="00C65908"/>
    <w:rsid w:val="00C65B98"/>
    <w:rsid w:val="00C65C0B"/>
    <w:rsid w:val="00C66045"/>
    <w:rsid w:val="00C66597"/>
    <w:rsid w:val="00C66688"/>
    <w:rsid w:val="00C66B44"/>
    <w:rsid w:val="00C671FC"/>
    <w:rsid w:val="00C67494"/>
    <w:rsid w:val="00C677C9"/>
    <w:rsid w:val="00C67AAD"/>
    <w:rsid w:val="00C67B6F"/>
    <w:rsid w:val="00C67D57"/>
    <w:rsid w:val="00C67EF9"/>
    <w:rsid w:val="00C70047"/>
    <w:rsid w:val="00C7033C"/>
    <w:rsid w:val="00C70A58"/>
    <w:rsid w:val="00C713C0"/>
    <w:rsid w:val="00C71888"/>
    <w:rsid w:val="00C71FAA"/>
    <w:rsid w:val="00C72247"/>
    <w:rsid w:val="00C72B51"/>
    <w:rsid w:val="00C72DBC"/>
    <w:rsid w:val="00C7456D"/>
    <w:rsid w:val="00C7461B"/>
    <w:rsid w:val="00C755DD"/>
    <w:rsid w:val="00C75EB4"/>
    <w:rsid w:val="00C760D9"/>
    <w:rsid w:val="00C762A3"/>
    <w:rsid w:val="00C766E4"/>
    <w:rsid w:val="00C7688C"/>
    <w:rsid w:val="00C76BE2"/>
    <w:rsid w:val="00C76D6A"/>
    <w:rsid w:val="00C76FE9"/>
    <w:rsid w:val="00C7749F"/>
    <w:rsid w:val="00C775C5"/>
    <w:rsid w:val="00C77B99"/>
    <w:rsid w:val="00C80062"/>
    <w:rsid w:val="00C801E1"/>
    <w:rsid w:val="00C806CA"/>
    <w:rsid w:val="00C80CBF"/>
    <w:rsid w:val="00C80DC0"/>
    <w:rsid w:val="00C810C6"/>
    <w:rsid w:val="00C81292"/>
    <w:rsid w:val="00C81812"/>
    <w:rsid w:val="00C81AFF"/>
    <w:rsid w:val="00C81BE7"/>
    <w:rsid w:val="00C81DFD"/>
    <w:rsid w:val="00C826D1"/>
    <w:rsid w:val="00C8289F"/>
    <w:rsid w:val="00C82E74"/>
    <w:rsid w:val="00C832AC"/>
    <w:rsid w:val="00C8341A"/>
    <w:rsid w:val="00C8488A"/>
    <w:rsid w:val="00C84D61"/>
    <w:rsid w:val="00C85577"/>
    <w:rsid w:val="00C8589D"/>
    <w:rsid w:val="00C86128"/>
    <w:rsid w:val="00C86490"/>
    <w:rsid w:val="00C8652D"/>
    <w:rsid w:val="00C8658B"/>
    <w:rsid w:val="00C866AD"/>
    <w:rsid w:val="00C868D7"/>
    <w:rsid w:val="00C87476"/>
    <w:rsid w:val="00C875BE"/>
    <w:rsid w:val="00C87BB9"/>
    <w:rsid w:val="00C87F8C"/>
    <w:rsid w:val="00C901F3"/>
    <w:rsid w:val="00C9111A"/>
    <w:rsid w:val="00C91780"/>
    <w:rsid w:val="00C91A55"/>
    <w:rsid w:val="00C921FC"/>
    <w:rsid w:val="00C9293E"/>
    <w:rsid w:val="00C92D10"/>
    <w:rsid w:val="00C937AA"/>
    <w:rsid w:val="00C93A60"/>
    <w:rsid w:val="00C946DA"/>
    <w:rsid w:val="00C95A5F"/>
    <w:rsid w:val="00C960FC"/>
    <w:rsid w:val="00C961E4"/>
    <w:rsid w:val="00C965E6"/>
    <w:rsid w:val="00C968A4"/>
    <w:rsid w:val="00C96B7C"/>
    <w:rsid w:val="00C96BA5"/>
    <w:rsid w:val="00C96F90"/>
    <w:rsid w:val="00C97053"/>
    <w:rsid w:val="00C97364"/>
    <w:rsid w:val="00C97A18"/>
    <w:rsid w:val="00CA06E7"/>
    <w:rsid w:val="00CA083C"/>
    <w:rsid w:val="00CA0DE2"/>
    <w:rsid w:val="00CA0E03"/>
    <w:rsid w:val="00CA1D1A"/>
    <w:rsid w:val="00CA1D5C"/>
    <w:rsid w:val="00CA224C"/>
    <w:rsid w:val="00CA255D"/>
    <w:rsid w:val="00CA2A95"/>
    <w:rsid w:val="00CA2D0F"/>
    <w:rsid w:val="00CA2F8C"/>
    <w:rsid w:val="00CA2F91"/>
    <w:rsid w:val="00CA2FB0"/>
    <w:rsid w:val="00CA357F"/>
    <w:rsid w:val="00CA3587"/>
    <w:rsid w:val="00CA39BD"/>
    <w:rsid w:val="00CA4093"/>
    <w:rsid w:val="00CA46E7"/>
    <w:rsid w:val="00CA512C"/>
    <w:rsid w:val="00CA54A3"/>
    <w:rsid w:val="00CA63F0"/>
    <w:rsid w:val="00CA67C3"/>
    <w:rsid w:val="00CA7226"/>
    <w:rsid w:val="00CA73A6"/>
    <w:rsid w:val="00CA7E08"/>
    <w:rsid w:val="00CB01AA"/>
    <w:rsid w:val="00CB091C"/>
    <w:rsid w:val="00CB0B82"/>
    <w:rsid w:val="00CB0E74"/>
    <w:rsid w:val="00CB1359"/>
    <w:rsid w:val="00CB1C0A"/>
    <w:rsid w:val="00CB1F58"/>
    <w:rsid w:val="00CB29BE"/>
    <w:rsid w:val="00CB2D9B"/>
    <w:rsid w:val="00CB2EC5"/>
    <w:rsid w:val="00CB4272"/>
    <w:rsid w:val="00CB44C4"/>
    <w:rsid w:val="00CB46F9"/>
    <w:rsid w:val="00CB49F4"/>
    <w:rsid w:val="00CB55BA"/>
    <w:rsid w:val="00CB5888"/>
    <w:rsid w:val="00CB5C03"/>
    <w:rsid w:val="00CB5D28"/>
    <w:rsid w:val="00CB5DF2"/>
    <w:rsid w:val="00CB6247"/>
    <w:rsid w:val="00CB6686"/>
    <w:rsid w:val="00CB693F"/>
    <w:rsid w:val="00CB71E2"/>
    <w:rsid w:val="00CB75F2"/>
    <w:rsid w:val="00CB76FF"/>
    <w:rsid w:val="00CC06C4"/>
    <w:rsid w:val="00CC0D75"/>
    <w:rsid w:val="00CC1069"/>
    <w:rsid w:val="00CC1943"/>
    <w:rsid w:val="00CC19E6"/>
    <w:rsid w:val="00CC1F4F"/>
    <w:rsid w:val="00CC297E"/>
    <w:rsid w:val="00CC3F9D"/>
    <w:rsid w:val="00CC4325"/>
    <w:rsid w:val="00CC4675"/>
    <w:rsid w:val="00CC51FF"/>
    <w:rsid w:val="00CC5356"/>
    <w:rsid w:val="00CC53B8"/>
    <w:rsid w:val="00CC56A1"/>
    <w:rsid w:val="00CC5719"/>
    <w:rsid w:val="00CC5B92"/>
    <w:rsid w:val="00CC6419"/>
    <w:rsid w:val="00CC67CF"/>
    <w:rsid w:val="00CC6BB4"/>
    <w:rsid w:val="00CC6DC7"/>
    <w:rsid w:val="00CC71F7"/>
    <w:rsid w:val="00CC721D"/>
    <w:rsid w:val="00CC75CA"/>
    <w:rsid w:val="00CC7DB1"/>
    <w:rsid w:val="00CD083B"/>
    <w:rsid w:val="00CD0E9D"/>
    <w:rsid w:val="00CD0F32"/>
    <w:rsid w:val="00CD1096"/>
    <w:rsid w:val="00CD15A6"/>
    <w:rsid w:val="00CD1D4D"/>
    <w:rsid w:val="00CD280C"/>
    <w:rsid w:val="00CD2C33"/>
    <w:rsid w:val="00CD2C7B"/>
    <w:rsid w:val="00CD395B"/>
    <w:rsid w:val="00CD3D82"/>
    <w:rsid w:val="00CD46A9"/>
    <w:rsid w:val="00CD4D29"/>
    <w:rsid w:val="00CD542D"/>
    <w:rsid w:val="00CD579C"/>
    <w:rsid w:val="00CD5CC1"/>
    <w:rsid w:val="00CD5FB7"/>
    <w:rsid w:val="00CD678E"/>
    <w:rsid w:val="00CD6B6C"/>
    <w:rsid w:val="00CE03F0"/>
    <w:rsid w:val="00CE0B55"/>
    <w:rsid w:val="00CE0D06"/>
    <w:rsid w:val="00CE0DB8"/>
    <w:rsid w:val="00CE1B84"/>
    <w:rsid w:val="00CE1DEE"/>
    <w:rsid w:val="00CE2224"/>
    <w:rsid w:val="00CE23FC"/>
    <w:rsid w:val="00CE253C"/>
    <w:rsid w:val="00CE2551"/>
    <w:rsid w:val="00CE285E"/>
    <w:rsid w:val="00CE2E69"/>
    <w:rsid w:val="00CE3189"/>
    <w:rsid w:val="00CE340F"/>
    <w:rsid w:val="00CE34D8"/>
    <w:rsid w:val="00CE44A7"/>
    <w:rsid w:val="00CE4864"/>
    <w:rsid w:val="00CE4B75"/>
    <w:rsid w:val="00CE4D43"/>
    <w:rsid w:val="00CE4E82"/>
    <w:rsid w:val="00CE54CE"/>
    <w:rsid w:val="00CE5B82"/>
    <w:rsid w:val="00CE5C22"/>
    <w:rsid w:val="00CE5FA7"/>
    <w:rsid w:val="00CE6BE4"/>
    <w:rsid w:val="00CE7177"/>
    <w:rsid w:val="00CE770D"/>
    <w:rsid w:val="00CE77CA"/>
    <w:rsid w:val="00CF0384"/>
    <w:rsid w:val="00CF0437"/>
    <w:rsid w:val="00CF06D6"/>
    <w:rsid w:val="00CF0EE9"/>
    <w:rsid w:val="00CF1676"/>
    <w:rsid w:val="00CF1BF9"/>
    <w:rsid w:val="00CF1FDF"/>
    <w:rsid w:val="00CF23F3"/>
    <w:rsid w:val="00CF2B39"/>
    <w:rsid w:val="00CF330E"/>
    <w:rsid w:val="00CF33DB"/>
    <w:rsid w:val="00CF3BFE"/>
    <w:rsid w:val="00CF45EF"/>
    <w:rsid w:val="00CF4B91"/>
    <w:rsid w:val="00CF4FED"/>
    <w:rsid w:val="00CF5753"/>
    <w:rsid w:val="00CF57A8"/>
    <w:rsid w:val="00CF5AF8"/>
    <w:rsid w:val="00CF5D34"/>
    <w:rsid w:val="00CF5D98"/>
    <w:rsid w:val="00CF611A"/>
    <w:rsid w:val="00CF6332"/>
    <w:rsid w:val="00CF6BB6"/>
    <w:rsid w:val="00CF6D3E"/>
    <w:rsid w:val="00D005DD"/>
    <w:rsid w:val="00D00EA3"/>
    <w:rsid w:val="00D01421"/>
    <w:rsid w:val="00D01A0A"/>
    <w:rsid w:val="00D01AFF"/>
    <w:rsid w:val="00D01D5D"/>
    <w:rsid w:val="00D01DCE"/>
    <w:rsid w:val="00D02584"/>
    <w:rsid w:val="00D0260C"/>
    <w:rsid w:val="00D02A7D"/>
    <w:rsid w:val="00D02B30"/>
    <w:rsid w:val="00D02F13"/>
    <w:rsid w:val="00D0316E"/>
    <w:rsid w:val="00D0318E"/>
    <w:rsid w:val="00D03210"/>
    <w:rsid w:val="00D0341B"/>
    <w:rsid w:val="00D0355B"/>
    <w:rsid w:val="00D035BE"/>
    <w:rsid w:val="00D038BF"/>
    <w:rsid w:val="00D03B80"/>
    <w:rsid w:val="00D03CD4"/>
    <w:rsid w:val="00D03E54"/>
    <w:rsid w:val="00D03F6B"/>
    <w:rsid w:val="00D04127"/>
    <w:rsid w:val="00D04788"/>
    <w:rsid w:val="00D05696"/>
    <w:rsid w:val="00D05767"/>
    <w:rsid w:val="00D059CD"/>
    <w:rsid w:val="00D05CEF"/>
    <w:rsid w:val="00D06C8B"/>
    <w:rsid w:val="00D06EC3"/>
    <w:rsid w:val="00D070CF"/>
    <w:rsid w:val="00D108D5"/>
    <w:rsid w:val="00D10BC9"/>
    <w:rsid w:val="00D11466"/>
    <w:rsid w:val="00D11528"/>
    <w:rsid w:val="00D119B9"/>
    <w:rsid w:val="00D11DF9"/>
    <w:rsid w:val="00D11FB8"/>
    <w:rsid w:val="00D131DF"/>
    <w:rsid w:val="00D135EE"/>
    <w:rsid w:val="00D136B8"/>
    <w:rsid w:val="00D13AC2"/>
    <w:rsid w:val="00D1417A"/>
    <w:rsid w:val="00D14244"/>
    <w:rsid w:val="00D1498D"/>
    <w:rsid w:val="00D14E56"/>
    <w:rsid w:val="00D15039"/>
    <w:rsid w:val="00D15E68"/>
    <w:rsid w:val="00D16082"/>
    <w:rsid w:val="00D162ED"/>
    <w:rsid w:val="00D163ED"/>
    <w:rsid w:val="00D16555"/>
    <w:rsid w:val="00D1658A"/>
    <w:rsid w:val="00D16DD7"/>
    <w:rsid w:val="00D17431"/>
    <w:rsid w:val="00D175AF"/>
    <w:rsid w:val="00D178EA"/>
    <w:rsid w:val="00D17F7C"/>
    <w:rsid w:val="00D17FC7"/>
    <w:rsid w:val="00D20055"/>
    <w:rsid w:val="00D2085D"/>
    <w:rsid w:val="00D21218"/>
    <w:rsid w:val="00D21578"/>
    <w:rsid w:val="00D218CE"/>
    <w:rsid w:val="00D21B7E"/>
    <w:rsid w:val="00D21BB3"/>
    <w:rsid w:val="00D2223A"/>
    <w:rsid w:val="00D226A8"/>
    <w:rsid w:val="00D22D5C"/>
    <w:rsid w:val="00D2333E"/>
    <w:rsid w:val="00D2350C"/>
    <w:rsid w:val="00D23AF5"/>
    <w:rsid w:val="00D23B4F"/>
    <w:rsid w:val="00D23B71"/>
    <w:rsid w:val="00D23EE0"/>
    <w:rsid w:val="00D24667"/>
    <w:rsid w:val="00D24763"/>
    <w:rsid w:val="00D24C78"/>
    <w:rsid w:val="00D24D0B"/>
    <w:rsid w:val="00D24ED1"/>
    <w:rsid w:val="00D25905"/>
    <w:rsid w:val="00D25AA1"/>
    <w:rsid w:val="00D26446"/>
    <w:rsid w:val="00D26F1B"/>
    <w:rsid w:val="00D27218"/>
    <w:rsid w:val="00D27E46"/>
    <w:rsid w:val="00D30B8C"/>
    <w:rsid w:val="00D31651"/>
    <w:rsid w:val="00D32083"/>
    <w:rsid w:val="00D32B28"/>
    <w:rsid w:val="00D33619"/>
    <w:rsid w:val="00D33F0D"/>
    <w:rsid w:val="00D34A07"/>
    <w:rsid w:val="00D35C6E"/>
    <w:rsid w:val="00D35FE5"/>
    <w:rsid w:val="00D368E7"/>
    <w:rsid w:val="00D368EA"/>
    <w:rsid w:val="00D373C1"/>
    <w:rsid w:val="00D37846"/>
    <w:rsid w:val="00D405D5"/>
    <w:rsid w:val="00D4090A"/>
    <w:rsid w:val="00D40BC9"/>
    <w:rsid w:val="00D4129A"/>
    <w:rsid w:val="00D41C6E"/>
    <w:rsid w:val="00D41E44"/>
    <w:rsid w:val="00D42626"/>
    <w:rsid w:val="00D426FC"/>
    <w:rsid w:val="00D43496"/>
    <w:rsid w:val="00D43D9E"/>
    <w:rsid w:val="00D446A6"/>
    <w:rsid w:val="00D44C8C"/>
    <w:rsid w:val="00D44DC8"/>
    <w:rsid w:val="00D452E7"/>
    <w:rsid w:val="00D45303"/>
    <w:rsid w:val="00D45926"/>
    <w:rsid w:val="00D45FD8"/>
    <w:rsid w:val="00D45FDD"/>
    <w:rsid w:val="00D46B4B"/>
    <w:rsid w:val="00D46D48"/>
    <w:rsid w:val="00D46F9D"/>
    <w:rsid w:val="00D47226"/>
    <w:rsid w:val="00D474EB"/>
    <w:rsid w:val="00D476D5"/>
    <w:rsid w:val="00D47C15"/>
    <w:rsid w:val="00D504CA"/>
    <w:rsid w:val="00D50ABB"/>
    <w:rsid w:val="00D516E4"/>
    <w:rsid w:val="00D518E3"/>
    <w:rsid w:val="00D51A0A"/>
    <w:rsid w:val="00D51A25"/>
    <w:rsid w:val="00D52A3C"/>
    <w:rsid w:val="00D52CD7"/>
    <w:rsid w:val="00D52E27"/>
    <w:rsid w:val="00D538F4"/>
    <w:rsid w:val="00D53C3C"/>
    <w:rsid w:val="00D54589"/>
    <w:rsid w:val="00D54E69"/>
    <w:rsid w:val="00D54F0D"/>
    <w:rsid w:val="00D5515E"/>
    <w:rsid w:val="00D5562D"/>
    <w:rsid w:val="00D5578C"/>
    <w:rsid w:val="00D56066"/>
    <w:rsid w:val="00D56750"/>
    <w:rsid w:val="00D5721E"/>
    <w:rsid w:val="00D57583"/>
    <w:rsid w:val="00D5779A"/>
    <w:rsid w:val="00D601D5"/>
    <w:rsid w:val="00D605EC"/>
    <w:rsid w:val="00D60B3D"/>
    <w:rsid w:val="00D60B86"/>
    <w:rsid w:val="00D6148D"/>
    <w:rsid w:val="00D61632"/>
    <w:rsid w:val="00D61823"/>
    <w:rsid w:val="00D61931"/>
    <w:rsid w:val="00D61D72"/>
    <w:rsid w:val="00D61DAB"/>
    <w:rsid w:val="00D62574"/>
    <w:rsid w:val="00D62592"/>
    <w:rsid w:val="00D62656"/>
    <w:rsid w:val="00D62A42"/>
    <w:rsid w:val="00D62D02"/>
    <w:rsid w:val="00D6308D"/>
    <w:rsid w:val="00D63482"/>
    <w:rsid w:val="00D640F9"/>
    <w:rsid w:val="00D64C2F"/>
    <w:rsid w:val="00D6509D"/>
    <w:rsid w:val="00D651E0"/>
    <w:rsid w:val="00D65A5F"/>
    <w:rsid w:val="00D65AA7"/>
    <w:rsid w:val="00D65CDB"/>
    <w:rsid w:val="00D65D00"/>
    <w:rsid w:val="00D675A7"/>
    <w:rsid w:val="00D67630"/>
    <w:rsid w:val="00D67695"/>
    <w:rsid w:val="00D67EA7"/>
    <w:rsid w:val="00D70168"/>
    <w:rsid w:val="00D7029F"/>
    <w:rsid w:val="00D70A52"/>
    <w:rsid w:val="00D70D21"/>
    <w:rsid w:val="00D70EC7"/>
    <w:rsid w:val="00D70F0D"/>
    <w:rsid w:val="00D71557"/>
    <w:rsid w:val="00D7173E"/>
    <w:rsid w:val="00D71924"/>
    <w:rsid w:val="00D71AE5"/>
    <w:rsid w:val="00D71AE6"/>
    <w:rsid w:val="00D71B50"/>
    <w:rsid w:val="00D71E5E"/>
    <w:rsid w:val="00D71F3F"/>
    <w:rsid w:val="00D72243"/>
    <w:rsid w:val="00D723E6"/>
    <w:rsid w:val="00D72451"/>
    <w:rsid w:val="00D7254B"/>
    <w:rsid w:val="00D736E5"/>
    <w:rsid w:val="00D73ABC"/>
    <w:rsid w:val="00D73C63"/>
    <w:rsid w:val="00D74440"/>
    <w:rsid w:val="00D749D6"/>
    <w:rsid w:val="00D74B44"/>
    <w:rsid w:val="00D75BB6"/>
    <w:rsid w:val="00D75E1A"/>
    <w:rsid w:val="00D76562"/>
    <w:rsid w:val="00D76818"/>
    <w:rsid w:val="00D76A13"/>
    <w:rsid w:val="00D76F90"/>
    <w:rsid w:val="00D771C0"/>
    <w:rsid w:val="00D774FA"/>
    <w:rsid w:val="00D777C3"/>
    <w:rsid w:val="00D778A9"/>
    <w:rsid w:val="00D779D3"/>
    <w:rsid w:val="00D77ED6"/>
    <w:rsid w:val="00D77F7F"/>
    <w:rsid w:val="00D80855"/>
    <w:rsid w:val="00D808D0"/>
    <w:rsid w:val="00D81077"/>
    <w:rsid w:val="00D816DB"/>
    <w:rsid w:val="00D81E86"/>
    <w:rsid w:val="00D81FA5"/>
    <w:rsid w:val="00D821AB"/>
    <w:rsid w:val="00D82656"/>
    <w:rsid w:val="00D82A4B"/>
    <w:rsid w:val="00D82FD6"/>
    <w:rsid w:val="00D836F4"/>
    <w:rsid w:val="00D83951"/>
    <w:rsid w:val="00D84418"/>
    <w:rsid w:val="00D8447F"/>
    <w:rsid w:val="00D84623"/>
    <w:rsid w:val="00D847EB"/>
    <w:rsid w:val="00D84E26"/>
    <w:rsid w:val="00D85D5B"/>
    <w:rsid w:val="00D87471"/>
    <w:rsid w:val="00D875DC"/>
    <w:rsid w:val="00D87D97"/>
    <w:rsid w:val="00D87E0D"/>
    <w:rsid w:val="00D87F45"/>
    <w:rsid w:val="00D902F9"/>
    <w:rsid w:val="00D90765"/>
    <w:rsid w:val="00D909FC"/>
    <w:rsid w:val="00D90DDC"/>
    <w:rsid w:val="00D91224"/>
    <w:rsid w:val="00D913FC"/>
    <w:rsid w:val="00D91453"/>
    <w:rsid w:val="00D91DC6"/>
    <w:rsid w:val="00D91ED9"/>
    <w:rsid w:val="00D91F2E"/>
    <w:rsid w:val="00D91FD3"/>
    <w:rsid w:val="00D920DB"/>
    <w:rsid w:val="00D92917"/>
    <w:rsid w:val="00D92B86"/>
    <w:rsid w:val="00D92B8A"/>
    <w:rsid w:val="00D92C9E"/>
    <w:rsid w:val="00D93493"/>
    <w:rsid w:val="00D9353A"/>
    <w:rsid w:val="00D9362D"/>
    <w:rsid w:val="00D93850"/>
    <w:rsid w:val="00D93C55"/>
    <w:rsid w:val="00D93D6A"/>
    <w:rsid w:val="00D9425D"/>
    <w:rsid w:val="00D94846"/>
    <w:rsid w:val="00D94A78"/>
    <w:rsid w:val="00D94DDB"/>
    <w:rsid w:val="00D95149"/>
    <w:rsid w:val="00D952C2"/>
    <w:rsid w:val="00D959FA"/>
    <w:rsid w:val="00D95CBC"/>
    <w:rsid w:val="00D96ED4"/>
    <w:rsid w:val="00D9760C"/>
    <w:rsid w:val="00D976F0"/>
    <w:rsid w:val="00D97718"/>
    <w:rsid w:val="00DA0696"/>
    <w:rsid w:val="00DA09EC"/>
    <w:rsid w:val="00DA0D65"/>
    <w:rsid w:val="00DA1059"/>
    <w:rsid w:val="00DA15B8"/>
    <w:rsid w:val="00DA2081"/>
    <w:rsid w:val="00DA2238"/>
    <w:rsid w:val="00DA23A0"/>
    <w:rsid w:val="00DA25D2"/>
    <w:rsid w:val="00DA2A4A"/>
    <w:rsid w:val="00DA2E5D"/>
    <w:rsid w:val="00DA30B8"/>
    <w:rsid w:val="00DA313D"/>
    <w:rsid w:val="00DA32A1"/>
    <w:rsid w:val="00DA3FB0"/>
    <w:rsid w:val="00DA4302"/>
    <w:rsid w:val="00DA4AAC"/>
    <w:rsid w:val="00DA519B"/>
    <w:rsid w:val="00DA5593"/>
    <w:rsid w:val="00DA597B"/>
    <w:rsid w:val="00DA5EC6"/>
    <w:rsid w:val="00DA5F62"/>
    <w:rsid w:val="00DA753A"/>
    <w:rsid w:val="00DA7F90"/>
    <w:rsid w:val="00DB0374"/>
    <w:rsid w:val="00DB1219"/>
    <w:rsid w:val="00DB19BF"/>
    <w:rsid w:val="00DB2246"/>
    <w:rsid w:val="00DB25BF"/>
    <w:rsid w:val="00DB299C"/>
    <w:rsid w:val="00DB2C69"/>
    <w:rsid w:val="00DB2DEA"/>
    <w:rsid w:val="00DB30F7"/>
    <w:rsid w:val="00DB396C"/>
    <w:rsid w:val="00DB4000"/>
    <w:rsid w:val="00DB4194"/>
    <w:rsid w:val="00DB42F8"/>
    <w:rsid w:val="00DB487E"/>
    <w:rsid w:val="00DB59D6"/>
    <w:rsid w:val="00DB5C32"/>
    <w:rsid w:val="00DB661D"/>
    <w:rsid w:val="00DB66F5"/>
    <w:rsid w:val="00DB6A80"/>
    <w:rsid w:val="00DB6C49"/>
    <w:rsid w:val="00DB7004"/>
    <w:rsid w:val="00DB76C1"/>
    <w:rsid w:val="00DB76F0"/>
    <w:rsid w:val="00DB79A5"/>
    <w:rsid w:val="00DB79F8"/>
    <w:rsid w:val="00DB7D6C"/>
    <w:rsid w:val="00DC0440"/>
    <w:rsid w:val="00DC06A5"/>
    <w:rsid w:val="00DC08CA"/>
    <w:rsid w:val="00DC0C66"/>
    <w:rsid w:val="00DC14F5"/>
    <w:rsid w:val="00DC1E8B"/>
    <w:rsid w:val="00DC2594"/>
    <w:rsid w:val="00DC27FC"/>
    <w:rsid w:val="00DC2BB6"/>
    <w:rsid w:val="00DC2E30"/>
    <w:rsid w:val="00DC33EA"/>
    <w:rsid w:val="00DC361B"/>
    <w:rsid w:val="00DC3687"/>
    <w:rsid w:val="00DC3932"/>
    <w:rsid w:val="00DC462E"/>
    <w:rsid w:val="00DC4701"/>
    <w:rsid w:val="00DC473E"/>
    <w:rsid w:val="00DC4A4A"/>
    <w:rsid w:val="00DC4BC1"/>
    <w:rsid w:val="00DC54A6"/>
    <w:rsid w:val="00DC6344"/>
    <w:rsid w:val="00DC6E38"/>
    <w:rsid w:val="00DC6F2C"/>
    <w:rsid w:val="00DC72F8"/>
    <w:rsid w:val="00DC7566"/>
    <w:rsid w:val="00DC7734"/>
    <w:rsid w:val="00DC7D62"/>
    <w:rsid w:val="00DD0153"/>
    <w:rsid w:val="00DD0BA8"/>
    <w:rsid w:val="00DD19C3"/>
    <w:rsid w:val="00DD1CAA"/>
    <w:rsid w:val="00DD1D2F"/>
    <w:rsid w:val="00DD1EEB"/>
    <w:rsid w:val="00DD2C10"/>
    <w:rsid w:val="00DD345E"/>
    <w:rsid w:val="00DD3998"/>
    <w:rsid w:val="00DD44A0"/>
    <w:rsid w:val="00DD4FBA"/>
    <w:rsid w:val="00DD65A8"/>
    <w:rsid w:val="00DD6C2E"/>
    <w:rsid w:val="00DD6DC3"/>
    <w:rsid w:val="00DE0033"/>
    <w:rsid w:val="00DE012D"/>
    <w:rsid w:val="00DE04ED"/>
    <w:rsid w:val="00DE0A78"/>
    <w:rsid w:val="00DE0D49"/>
    <w:rsid w:val="00DE1401"/>
    <w:rsid w:val="00DE1F67"/>
    <w:rsid w:val="00DE23F7"/>
    <w:rsid w:val="00DE249C"/>
    <w:rsid w:val="00DE2558"/>
    <w:rsid w:val="00DE2F18"/>
    <w:rsid w:val="00DE3527"/>
    <w:rsid w:val="00DE37A0"/>
    <w:rsid w:val="00DE3C75"/>
    <w:rsid w:val="00DE3DB5"/>
    <w:rsid w:val="00DE4DBE"/>
    <w:rsid w:val="00DE4FB5"/>
    <w:rsid w:val="00DE57CC"/>
    <w:rsid w:val="00DE5934"/>
    <w:rsid w:val="00DE5A09"/>
    <w:rsid w:val="00DE5C7A"/>
    <w:rsid w:val="00DE5DD8"/>
    <w:rsid w:val="00DE5E5D"/>
    <w:rsid w:val="00DE5F0E"/>
    <w:rsid w:val="00DE6651"/>
    <w:rsid w:val="00DE6B9C"/>
    <w:rsid w:val="00DE703C"/>
    <w:rsid w:val="00DE72DB"/>
    <w:rsid w:val="00DE793F"/>
    <w:rsid w:val="00DE7FE3"/>
    <w:rsid w:val="00DF04C7"/>
    <w:rsid w:val="00DF06BD"/>
    <w:rsid w:val="00DF0892"/>
    <w:rsid w:val="00DF0FCF"/>
    <w:rsid w:val="00DF1216"/>
    <w:rsid w:val="00DF13CF"/>
    <w:rsid w:val="00DF1653"/>
    <w:rsid w:val="00DF16D8"/>
    <w:rsid w:val="00DF197A"/>
    <w:rsid w:val="00DF1C50"/>
    <w:rsid w:val="00DF28CC"/>
    <w:rsid w:val="00DF3744"/>
    <w:rsid w:val="00DF37EA"/>
    <w:rsid w:val="00DF3B6F"/>
    <w:rsid w:val="00DF418C"/>
    <w:rsid w:val="00DF4692"/>
    <w:rsid w:val="00DF5066"/>
    <w:rsid w:val="00DF5E2B"/>
    <w:rsid w:val="00DF6389"/>
    <w:rsid w:val="00DF709E"/>
    <w:rsid w:val="00DF737F"/>
    <w:rsid w:val="00DF7426"/>
    <w:rsid w:val="00DF779E"/>
    <w:rsid w:val="00DF779F"/>
    <w:rsid w:val="00DF77C6"/>
    <w:rsid w:val="00DF784D"/>
    <w:rsid w:val="00DF7CF9"/>
    <w:rsid w:val="00E006F1"/>
    <w:rsid w:val="00E015DB"/>
    <w:rsid w:val="00E018B6"/>
    <w:rsid w:val="00E01FD0"/>
    <w:rsid w:val="00E02070"/>
    <w:rsid w:val="00E023BD"/>
    <w:rsid w:val="00E0251C"/>
    <w:rsid w:val="00E02CAB"/>
    <w:rsid w:val="00E03DF9"/>
    <w:rsid w:val="00E03E24"/>
    <w:rsid w:val="00E04433"/>
    <w:rsid w:val="00E0454F"/>
    <w:rsid w:val="00E046E0"/>
    <w:rsid w:val="00E05535"/>
    <w:rsid w:val="00E05BB3"/>
    <w:rsid w:val="00E071D3"/>
    <w:rsid w:val="00E071D8"/>
    <w:rsid w:val="00E0746B"/>
    <w:rsid w:val="00E07472"/>
    <w:rsid w:val="00E0782A"/>
    <w:rsid w:val="00E07F94"/>
    <w:rsid w:val="00E10272"/>
    <w:rsid w:val="00E1075B"/>
    <w:rsid w:val="00E10957"/>
    <w:rsid w:val="00E10E50"/>
    <w:rsid w:val="00E11154"/>
    <w:rsid w:val="00E112C9"/>
    <w:rsid w:val="00E11999"/>
    <w:rsid w:val="00E120C6"/>
    <w:rsid w:val="00E1221A"/>
    <w:rsid w:val="00E127CD"/>
    <w:rsid w:val="00E128FC"/>
    <w:rsid w:val="00E129DD"/>
    <w:rsid w:val="00E12E62"/>
    <w:rsid w:val="00E1332E"/>
    <w:rsid w:val="00E13920"/>
    <w:rsid w:val="00E13973"/>
    <w:rsid w:val="00E14285"/>
    <w:rsid w:val="00E143C6"/>
    <w:rsid w:val="00E1450E"/>
    <w:rsid w:val="00E14996"/>
    <w:rsid w:val="00E16370"/>
    <w:rsid w:val="00E16539"/>
    <w:rsid w:val="00E16715"/>
    <w:rsid w:val="00E169B2"/>
    <w:rsid w:val="00E16DA7"/>
    <w:rsid w:val="00E17067"/>
    <w:rsid w:val="00E1716B"/>
    <w:rsid w:val="00E17C1F"/>
    <w:rsid w:val="00E17FEB"/>
    <w:rsid w:val="00E206D9"/>
    <w:rsid w:val="00E20A1E"/>
    <w:rsid w:val="00E20A6A"/>
    <w:rsid w:val="00E20E5E"/>
    <w:rsid w:val="00E212E1"/>
    <w:rsid w:val="00E2131A"/>
    <w:rsid w:val="00E217E9"/>
    <w:rsid w:val="00E220A9"/>
    <w:rsid w:val="00E2290F"/>
    <w:rsid w:val="00E229D6"/>
    <w:rsid w:val="00E229DA"/>
    <w:rsid w:val="00E22DDF"/>
    <w:rsid w:val="00E230C8"/>
    <w:rsid w:val="00E238CE"/>
    <w:rsid w:val="00E2394D"/>
    <w:rsid w:val="00E24D06"/>
    <w:rsid w:val="00E25030"/>
    <w:rsid w:val="00E2551A"/>
    <w:rsid w:val="00E25AC2"/>
    <w:rsid w:val="00E25B18"/>
    <w:rsid w:val="00E26147"/>
    <w:rsid w:val="00E26820"/>
    <w:rsid w:val="00E27AC7"/>
    <w:rsid w:val="00E27F09"/>
    <w:rsid w:val="00E30516"/>
    <w:rsid w:val="00E306D6"/>
    <w:rsid w:val="00E30CF2"/>
    <w:rsid w:val="00E30F72"/>
    <w:rsid w:val="00E31112"/>
    <w:rsid w:val="00E3124C"/>
    <w:rsid w:val="00E31924"/>
    <w:rsid w:val="00E31CB9"/>
    <w:rsid w:val="00E31DD3"/>
    <w:rsid w:val="00E31F2C"/>
    <w:rsid w:val="00E3309A"/>
    <w:rsid w:val="00E3367D"/>
    <w:rsid w:val="00E3378A"/>
    <w:rsid w:val="00E3490B"/>
    <w:rsid w:val="00E34FBE"/>
    <w:rsid w:val="00E35C5D"/>
    <w:rsid w:val="00E368D3"/>
    <w:rsid w:val="00E36A0A"/>
    <w:rsid w:val="00E36EE7"/>
    <w:rsid w:val="00E372CA"/>
    <w:rsid w:val="00E3761E"/>
    <w:rsid w:val="00E37C96"/>
    <w:rsid w:val="00E37D1D"/>
    <w:rsid w:val="00E40079"/>
    <w:rsid w:val="00E41174"/>
    <w:rsid w:val="00E4129E"/>
    <w:rsid w:val="00E41E0B"/>
    <w:rsid w:val="00E423CD"/>
    <w:rsid w:val="00E424A2"/>
    <w:rsid w:val="00E42DE7"/>
    <w:rsid w:val="00E4307B"/>
    <w:rsid w:val="00E432D4"/>
    <w:rsid w:val="00E438BA"/>
    <w:rsid w:val="00E43B6D"/>
    <w:rsid w:val="00E43FF0"/>
    <w:rsid w:val="00E452A0"/>
    <w:rsid w:val="00E455A2"/>
    <w:rsid w:val="00E458A2"/>
    <w:rsid w:val="00E45BE2"/>
    <w:rsid w:val="00E45F0F"/>
    <w:rsid w:val="00E460F0"/>
    <w:rsid w:val="00E46201"/>
    <w:rsid w:val="00E463A3"/>
    <w:rsid w:val="00E469BF"/>
    <w:rsid w:val="00E479FF"/>
    <w:rsid w:val="00E47FA9"/>
    <w:rsid w:val="00E50F8C"/>
    <w:rsid w:val="00E5127D"/>
    <w:rsid w:val="00E51397"/>
    <w:rsid w:val="00E5191F"/>
    <w:rsid w:val="00E51CFA"/>
    <w:rsid w:val="00E51E4D"/>
    <w:rsid w:val="00E51F8C"/>
    <w:rsid w:val="00E52222"/>
    <w:rsid w:val="00E525AA"/>
    <w:rsid w:val="00E532DF"/>
    <w:rsid w:val="00E534AA"/>
    <w:rsid w:val="00E53CC6"/>
    <w:rsid w:val="00E5410E"/>
    <w:rsid w:val="00E54F75"/>
    <w:rsid w:val="00E55292"/>
    <w:rsid w:val="00E558F1"/>
    <w:rsid w:val="00E55937"/>
    <w:rsid w:val="00E55B88"/>
    <w:rsid w:val="00E55C60"/>
    <w:rsid w:val="00E55DDE"/>
    <w:rsid w:val="00E56446"/>
    <w:rsid w:val="00E5674B"/>
    <w:rsid w:val="00E571DF"/>
    <w:rsid w:val="00E57394"/>
    <w:rsid w:val="00E57C70"/>
    <w:rsid w:val="00E57D0B"/>
    <w:rsid w:val="00E60295"/>
    <w:rsid w:val="00E610DA"/>
    <w:rsid w:val="00E61D11"/>
    <w:rsid w:val="00E624F6"/>
    <w:rsid w:val="00E632A6"/>
    <w:rsid w:val="00E63587"/>
    <w:rsid w:val="00E6372F"/>
    <w:rsid w:val="00E63B1D"/>
    <w:rsid w:val="00E64172"/>
    <w:rsid w:val="00E64328"/>
    <w:rsid w:val="00E643CB"/>
    <w:rsid w:val="00E64C91"/>
    <w:rsid w:val="00E64EEB"/>
    <w:rsid w:val="00E6594C"/>
    <w:rsid w:val="00E660F2"/>
    <w:rsid w:val="00E66106"/>
    <w:rsid w:val="00E6649A"/>
    <w:rsid w:val="00E6649F"/>
    <w:rsid w:val="00E675F3"/>
    <w:rsid w:val="00E701EE"/>
    <w:rsid w:val="00E70469"/>
    <w:rsid w:val="00E70B76"/>
    <w:rsid w:val="00E710FC"/>
    <w:rsid w:val="00E71E26"/>
    <w:rsid w:val="00E72743"/>
    <w:rsid w:val="00E72857"/>
    <w:rsid w:val="00E72E2C"/>
    <w:rsid w:val="00E73900"/>
    <w:rsid w:val="00E73D38"/>
    <w:rsid w:val="00E73E97"/>
    <w:rsid w:val="00E74531"/>
    <w:rsid w:val="00E7530E"/>
    <w:rsid w:val="00E7531F"/>
    <w:rsid w:val="00E75600"/>
    <w:rsid w:val="00E760F3"/>
    <w:rsid w:val="00E76731"/>
    <w:rsid w:val="00E767DF"/>
    <w:rsid w:val="00E7683E"/>
    <w:rsid w:val="00E76992"/>
    <w:rsid w:val="00E769EE"/>
    <w:rsid w:val="00E770FE"/>
    <w:rsid w:val="00E77A67"/>
    <w:rsid w:val="00E80081"/>
    <w:rsid w:val="00E8055C"/>
    <w:rsid w:val="00E80692"/>
    <w:rsid w:val="00E80B4A"/>
    <w:rsid w:val="00E8123A"/>
    <w:rsid w:val="00E81A4F"/>
    <w:rsid w:val="00E81AF3"/>
    <w:rsid w:val="00E8216B"/>
    <w:rsid w:val="00E83007"/>
    <w:rsid w:val="00E83014"/>
    <w:rsid w:val="00E833B9"/>
    <w:rsid w:val="00E840BA"/>
    <w:rsid w:val="00E84D1B"/>
    <w:rsid w:val="00E84D3B"/>
    <w:rsid w:val="00E8528D"/>
    <w:rsid w:val="00E853BE"/>
    <w:rsid w:val="00E858E1"/>
    <w:rsid w:val="00E85CED"/>
    <w:rsid w:val="00E86059"/>
    <w:rsid w:val="00E861B4"/>
    <w:rsid w:val="00E8671E"/>
    <w:rsid w:val="00E8681B"/>
    <w:rsid w:val="00E873BD"/>
    <w:rsid w:val="00E9049B"/>
    <w:rsid w:val="00E90575"/>
    <w:rsid w:val="00E90902"/>
    <w:rsid w:val="00E909E4"/>
    <w:rsid w:val="00E90C8B"/>
    <w:rsid w:val="00E90CB1"/>
    <w:rsid w:val="00E918DB"/>
    <w:rsid w:val="00E91A88"/>
    <w:rsid w:val="00E91FDB"/>
    <w:rsid w:val="00E92073"/>
    <w:rsid w:val="00E9229A"/>
    <w:rsid w:val="00E922BB"/>
    <w:rsid w:val="00E92687"/>
    <w:rsid w:val="00E927EB"/>
    <w:rsid w:val="00E92D81"/>
    <w:rsid w:val="00E938AE"/>
    <w:rsid w:val="00E93A7B"/>
    <w:rsid w:val="00E93BD6"/>
    <w:rsid w:val="00E94164"/>
    <w:rsid w:val="00E9430D"/>
    <w:rsid w:val="00E94663"/>
    <w:rsid w:val="00E9531A"/>
    <w:rsid w:val="00E9606B"/>
    <w:rsid w:val="00E96915"/>
    <w:rsid w:val="00E97169"/>
    <w:rsid w:val="00E972F2"/>
    <w:rsid w:val="00E9750A"/>
    <w:rsid w:val="00E97AE5"/>
    <w:rsid w:val="00EA09C4"/>
    <w:rsid w:val="00EA139A"/>
    <w:rsid w:val="00EA1A16"/>
    <w:rsid w:val="00EA20EB"/>
    <w:rsid w:val="00EA27BE"/>
    <w:rsid w:val="00EA2B80"/>
    <w:rsid w:val="00EA2C40"/>
    <w:rsid w:val="00EA2EA0"/>
    <w:rsid w:val="00EA39C1"/>
    <w:rsid w:val="00EA3CAC"/>
    <w:rsid w:val="00EA4080"/>
    <w:rsid w:val="00EA4A30"/>
    <w:rsid w:val="00EA4D92"/>
    <w:rsid w:val="00EA4EFA"/>
    <w:rsid w:val="00EA515B"/>
    <w:rsid w:val="00EA5323"/>
    <w:rsid w:val="00EA536C"/>
    <w:rsid w:val="00EA537D"/>
    <w:rsid w:val="00EA5832"/>
    <w:rsid w:val="00EA5ACC"/>
    <w:rsid w:val="00EA5E73"/>
    <w:rsid w:val="00EA6CB8"/>
    <w:rsid w:val="00EA76B1"/>
    <w:rsid w:val="00EA7795"/>
    <w:rsid w:val="00EA78A5"/>
    <w:rsid w:val="00EA7B8F"/>
    <w:rsid w:val="00EB055F"/>
    <w:rsid w:val="00EB0C9B"/>
    <w:rsid w:val="00EB0DD9"/>
    <w:rsid w:val="00EB159A"/>
    <w:rsid w:val="00EB1C47"/>
    <w:rsid w:val="00EB2160"/>
    <w:rsid w:val="00EB262B"/>
    <w:rsid w:val="00EB2761"/>
    <w:rsid w:val="00EB27E7"/>
    <w:rsid w:val="00EB3A6F"/>
    <w:rsid w:val="00EB4046"/>
    <w:rsid w:val="00EB43E0"/>
    <w:rsid w:val="00EB4A73"/>
    <w:rsid w:val="00EB4AA6"/>
    <w:rsid w:val="00EB4C26"/>
    <w:rsid w:val="00EB6153"/>
    <w:rsid w:val="00EB634B"/>
    <w:rsid w:val="00EB67F6"/>
    <w:rsid w:val="00EB6DB3"/>
    <w:rsid w:val="00EB6DCF"/>
    <w:rsid w:val="00EB725A"/>
    <w:rsid w:val="00EB7597"/>
    <w:rsid w:val="00EB7607"/>
    <w:rsid w:val="00EB7B08"/>
    <w:rsid w:val="00EC021A"/>
    <w:rsid w:val="00EC0265"/>
    <w:rsid w:val="00EC0FA4"/>
    <w:rsid w:val="00EC1105"/>
    <w:rsid w:val="00EC231E"/>
    <w:rsid w:val="00EC2514"/>
    <w:rsid w:val="00EC276B"/>
    <w:rsid w:val="00EC2918"/>
    <w:rsid w:val="00EC3BCF"/>
    <w:rsid w:val="00EC42EF"/>
    <w:rsid w:val="00EC4AED"/>
    <w:rsid w:val="00EC507F"/>
    <w:rsid w:val="00EC5350"/>
    <w:rsid w:val="00EC5FFB"/>
    <w:rsid w:val="00EC68D2"/>
    <w:rsid w:val="00EC6DF5"/>
    <w:rsid w:val="00EC6E6A"/>
    <w:rsid w:val="00EC6F89"/>
    <w:rsid w:val="00EC77BC"/>
    <w:rsid w:val="00EC7A65"/>
    <w:rsid w:val="00EC7B52"/>
    <w:rsid w:val="00ED0228"/>
    <w:rsid w:val="00ED051D"/>
    <w:rsid w:val="00ED0604"/>
    <w:rsid w:val="00ED0BD7"/>
    <w:rsid w:val="00ED0BE7"/>
    <w:rsid w:val="00ED0E8C"/>
    <w:rsid w:val="00ED11F0"/>
    <w:rsid w:val="00ED158A"/>
    <w:rsid w:val="00ED27EC"/>
    <w:rsid w:val="00ED291A"/>
    <w:rsid w:val="00ED2A97"/>
    <w:rsid w:val="00ED3076"/>
    <w:rsid w:val="00ED3A2D"/>
    <w:rsid w:val="00ED3B47"/>
    <w:rsid w:val="00ED4174"/>
    <w:rsid w:val="00ED4B9F"/>
    <w:rsid w:val="00ED4CD3"/>
    <w:rsid w:val="00ED5226"/>
    <w:rsid w:val="00ED56A5"/>
    <w:rsid w:val="00ED5A46"/>
    <w:rsid w:val="00ED5A5C"/>
    <w:rsid w:val="00ED5E2B"/>
    <w:rsid w:val="00ED606D"/>
    <w:rsid w:val="00ED6785"/>
    <w:rsid w:val="00ED6F7C"/>
    <w:rsid w:val="00ED78BC"/>
    <w:rsid w:val="00ED78E1"/>
    <w:rsid w:val="00ED7C44"/>
    <w:rsid w:val="00ED7F77"/>
    <w:rsid w:val="00EE02DF"/>
    <w:rsid w:val="00EE0FB8"/>
    <w:rsid w:val="00EE1392"/>
    <w:rsid w:val="00EE17E1"/>
    <w:rsid w:val="00EE1B6D"/>
    <w:rsid w:val="00EE28F9"/>
    <w:rsid w:val="00EE3749"/>
    <w:rsid w:val="00EE3D8D"/>
    <w:rsid w:val="00EE4301"/>
    <w:rsid w:val="00EE4A2A"/>
    <w:rsid w:val="00EE532B"/>
    <w:rsid w:val="00EE56F6"/>
    <w:rsid w:val="00EE6825"/>
    <w:rsid w:val="00EE6ABD"/>
    <w:rsid w:val="00EE6B4F"/>
    <w:rsid w:val="00EE6CD1"/>
    <w:rsid w:val="00EE72C2"/>
    <w:rsid w:val="00EE73B1"/>
    <w:rsid w:val="00EE7C5D"/>
    <w:rsid w:val="00EE7F92"/>
    <w:rsid w:val="00EF02AF"/>
    <w:rsid w:val="00EF0E8F"/>
    <w:rsid w:val="00EF149E"/>
    <w:rsid w:val="00EF15DC"/>
    <w:rsid w:val="00EF1E6C"/>
    <w:rsid w:val="00EF2034"/>
    <w:rsid w:val="00EF2195"/>
    <w:rsid w:val="00EF2EC2"/>
    <w:rsid w:val="00EF32A7"/>
    <w:rsid w:val="00EF391D"/>
    <w:rsid w:val="00EF496E"/>
    <w:rsid w:val="00EF4B89"/>
    <w:rsid w:val="00EF5555"/>
    <w:rsid w:val="00EF555E"/>
    <w:rsid w:val="00EF585A"/>
    <w:rsid w:val="00EF64C0"/>
    <w:rsid w:val="00EF6D9E"/>
    <w:rsid w:val="00EF6F4B"/>
    <w:rsid w:val="00EF708D"/>
    <w:rsid w:val="00EF70EE"/>
    <w:rsid w:val="00EF72D0"/>
    <w:rsid w:val="00EF7843"/>
    <w:rsid w:val="00EF78F9"/>
    <w:rsid w:val="00EF79C1"/>
    <w:rsid w:val="00EF7CEF"/>
    <w:rsid w:val="00F00B5A"/>
    <w:rsid w:val="00F01227"/>
    <w:rsid w:val="00F0124F"/>
    <w:rsid w:val="00F015BE"/>
    <w:rsid w:val="00F01CC7"/>
    <w:rsid w:val="00F02351"/>
    <w:rsid w:val="00F027F1"/>
    <w:rsid w:val="00F02EA8"/>
    <w:rsid w:val="00F03072"/>
    <w:rsid w:val="00F034B7"/>
    <w:rsid w:val="00F03745"/>
    <w:rsid w:val="00F03ACA"/>
    <w:rsid w:val="00F04193"/>
    <w:rsid w:val="00F041C9"/>
    <w:rsid w:val="00F041FB"/>
    <w:rsid w:val="00F0464F"/>
    <w:rsid w:val="00F04781"/>
    <w:rsid w:val="00F04BFC"/>
    <w:rsid w:val="00F0558B"/>
    <w:rsid w:val="00F058CC"/>
    <w:rsid w:val="00F05DA4"/>
    <w:rsid w:val="00F07042"/>
    <w:rsid w:val="00F07059"/>
    <w:rsid w:val="00F07114"/>
    <w:rsid w:val="00F07918"/>
    <w:rsid w:val="00F07B74"/>
    <w:rsid w:val="00F10253"/>
    <w:rsid w:val="00F10517"/>
    <w:rsid w:val="00F1105A"/>
    <w:rsid w:val="00F115B6"/>
    <w:rsid w:val="00F1166A"/>
    <w:rsid w:val="00F11678"/>
    <w:rsid w:val="00F12226"/>
    <w:rsid w:val="00F12C4B"/>
    <w:rsid w:val="00F12DD4"/>
    <w:rsid w:val="00F13B53"/>
    <w:rsid w:val="00F13C7F"/>
    <w:rsid w:val="00F13DC0"/>
    <w:rsid w:val="00F141D8"/>
    <w:rsid w:val="00F14CB5"/>
    <w:rsid w:val="00F1583E"/>
    <w:rsid w:val="00F16B5E"/>
    <w:rsid w:val="00F172B4"/>
    <w:rsid w:val="00F175F4"/>
    <w:rsid w:val="00F17FBD"/>
    <w:rsid w:val="00F2000D"/>
    <w:rsid w:val="00F2013D"/>
    <w:rsid w:val="00F2016C"/>
    <w:rsid w:val="00F20421"/>
    <w:rsid w:val="00F209FA"/>
    <w:rsid w:val="00F20CD5"/>
    <w:rsid w:val="00F21394"/>
    <w:rsid w:val="00F217B7"/>
    <w:rsid w:val="00F21BA1"/>
    <w:rsid w:val="00F222DF"/>
    <w:rsid w:val="00F2285C"/>
    <w:rsid w:val="00F2358B"/>
    <w:rsid w:val="00F23AB4"/>
    <w:rsid w:val="00F23D6C"/>
    <w:rsid w:val="00F24662"/>
    <w:rsid w:val="00F24D69"/>
    <w:rsid w:val="00F24D7C"/>
    <w:rsid w:val="00F24DE3"/>
    <w:rsid w:val="00F2557B"/>
    <w:rsid w:val="00F255F9"/>
    <w:rsid w:val="00F25762"/>
    <w:rsid w:val="00F258CF"/>
    <w:rsid w:val="00F25EED"/>
    <w:rsid w:val="00F26FB0"/>
    <w:rsid w:val="00F2716E"/>
    <w:rsid w:val="00F2799B"/>
    <w:rsid w:val="00F27F04"/>
    <w:rsid w:val="00F3003D"/>
    <w:rsid w:val="00F30655"/>
    <w:rsid w:val="00F306CD"/>
    <w:rsid w:val="00F31919"/>
    <w:rsid w:val="00F31BEA"/>
    <w:rsid w:val="00F31C29"/>
    <w:rsid w:val="00F321C2"/>
    <w:rsid w:val="00F32E30"/>
    <w:rsid w:val="00F3317F"/>
    <w:rsid w:val="00F33AF6"/>
    <w:rsid w:val="00F348B8"/>
    <w:rsid w:val="00F348CD"/>
    <w:rsid w:val="00F34E10"/>
    <w:rsid w:val="00F34F44"/>
    <w:rsid w:val="00F35574"/>
    <w:rsid w:val="00F36553"/>
    <w:rsid w:val="00F3659F"/>
    <w:rsid w:val="00F36A2E"/>
    <w:rsid w:val="00F36DA0"/>
    <w:rsid w:val="00F37685"/>
    <w:rsid w:val="00F37784"/>
    <w:rsid w:val="00F37A0F"/>
    <w:rsid w:val="00F40006"/>
    <w:rsid w:val="00F4045B"/>
    <w:rsid w:val="00F4072D"/>
    <w:rsid w:val="00F40F62"/>
    <w:rsid w:val="00F414E5"/>
    <w:rsid w:val="00F41A3D"/>
    <w:rsid w:val="00F41C0A"/>
    <w:rsid w:val="00F424D0"/>
    <w:rsid w:val="00F426FB"/>
    <w:rsid w:val="00F43029"/>
    <w:rsid w:val="00F432C7"/>
    <w:rsid w:val="00F4336C"/>
    <w:rsid w:val="00F43752"/>
    <w:rsid w:val="00F44071"/>
    <w:rsid w:val="00F440C8"/>
    <w:rsid w:val="00F440ED"/>
    <w:rsid w:val="00F44334"/>
    <w:rsid w:val="00F4459C"/>
    <w:rsid w:val="00F447A4"/>
    <w:rsid w:val="00F458FF"/>
    <w:rsid w:val="00F467D8"/>
    <w:rsid w:val="00F46BCE"/>
    <w:rsid w:val="00F47177"/>
    <w:rsid w:val="00F475FA"/>
    <w:rsid w:val="00F478EE"/>
    <w:rsid w:val="00F47C1F"/>
    <w:rsid w:val="00F47D73"/>
    <w:rsid w:val="00F50326"/>
    <w:rsid w:val="00F50660"/>
    <w:rsid w:val="00F511CE"/>
    <w:rsid w:val="00F51F62"/>
    <w:rsid w:val="00F52717"/>
    <w:rsid w:val="00F52EB1"/>
    <w:rsid w:val="00F535E7"/>
    <w:rsid w:val="00F536A1"/>
    <w:rsid w:val="00F53902"/>
    <w:rsid w:val="00F53C8A"/>
    <w:rsid w:val="00F53F0F"/>
    <w:rsid w:val="00F5417A"/>
    <w:rsid w:val="00F54270"/>
    <w:rsid w:val="00F550E8"/>
    <w:rsid w:val="00F5577E"/>
    <w:rsid w:val="00F56762"/>
    <w:rsid w:val="00F56A04"/>
    <w:rsid w:val="00F56EF7"/>
    <w:rsid w:val="00F5768C"/>
    <w:rsid w:val="00F57AA6"/>
    <w:rsid w:val="00F6082D"/>
    <w:rsid w:val="00F6083F"/>
    <w:rsid w:val="00F608C9"/>
    <w:rsid w:val="00F6133B"/>
    <w:rsid w:val="00F61617"/>
    <w:rsid w:val="00F62121"/>
    <w:rsid w:val="00F623FC"/>
    <w:rsid w:val="00F62AC3"/>
    <w:rsid w:val="00F63260"/>
    <w:rsid w:val="00F634BE"/>
    <w:rsid w:val="00F634F6"/>
    <w:rsid w:val="00F635E3"/>
    <w:rsid w:val="00F63DB2"/>
    <w:rsid w:val="00F6435C"/>
    <w:rsid w:val="00F6448F"/>
    <w:rsid w:val="00F647BE"/>
    <w:rsid w:val="00F65258"/>
    <w:rsid w:val="00F658A4"/>
    <w:rsid w:val="00F659C0"/>
    <w:rsid w:val="00F65CF0"/>
    <w:rsid w:val="00F662E3"/>
    <w:rsid w:val="00F67DA8"/>
    <w:rsid w:val="00F67FF4"/>
    <w:rsid w:val="00F705DB"/>
    <w:rsid w:val="00F705DD"/>
    <w:rsid w:val="00F708C2"/>
    <w:rsid w:val="00F70E9E"/>
    <w:rsid w:val="00F715F8"/>
    <w:rsid w:val="00F7169A"/>
    <w:rsid w:val="00F716CA"/>
    <w:rsid w:val="00F71853"/>
    <w:rsid w:val="00F7193B"/>
    <w:rsid w:val="00F71A1E"/>
    <w:rsid w:val="00F71F2B"/>
    <w:rsid w:val="00F72149"/>
    <w:rsid w:val="00F7236B"/>
    <w:rsid w:val="00F723D6"/>
    <w:rsid w:val="00F72A2E"/>
    <w:rsid w:val="00F72AD7"/>
    <w:rsid w:val="00F72F15"/>
    <w:rsid w:val="00F7388D"/>
    <w:rsid w:val="00F738EE"/>
    <w:rsid w:val="00F73D93"/>
    <w:rsid w:val="00F750D4"/>
    <w:rsid w:val="00F753F4"/>
    <w:rsid w:val="00F75DCF"/>
    <w:rsid w:val="00F76555"/>
    <w:rsid w:val="00F7684E"/>
    <w:rsid w:val="00F76FB9"/>
    <w:rsid w:val="00F7793E"/>
    <w:rsid w:val="00F80373"/>
    <w:rsid w:val="00F80D6E"/>
    <w:rsid w:val="00F813C7"/>
    <w:rsid w:val="00F819FA"/>
    <w:rsid w:val="00F81CCF"/>
    <w:rsid w:val="00F81D09"/>
    <w:rsid w:val="00F81F7A"/>
    <w:rsid w:val="00F81FE2"/>
    <w:rsid w:val="00F8214B"/>
    <w:rsid w:val="00F8331B"/>
    <w:rsid w:val="00F83325"/>
    <w:rsid w:val="00F838A0"/>
    <w:rsid w:val="00F83EA1"/>
    <w:rsid w:val="00F84C21"/>
    <w:rsid w:val="00F84DEA"/>
    <w:rsid w:val="00F84E2C"/>
    <w:rsid w:val="00F85082"/>
    <w:rsid w:val="00F85275"/>
    <w:rsid w:val="00F85581"/>
    <w:rsid w:val="00F85A45"/>
    <w:rsid w:val="00F85F79"/>
    <w:rsid w:val="00F86353"/>
    <w:rsid w:val="00F866C3"/>
    <w:rsid w:val="00F87B8F"/>
    <w:rsid w:val="00F87D1C"/>
    <w:rsid w:val="00F902F5"/>
    <w:rsid w:val="00F90417"/>
    <w:rsid w:val="00F90963"/>
    <w:rsid w:val="00F90A6A"/>
    <w:rsid w:val="00F90B90"/>
    <w:rsid w:val="00F91295"/>
    <w:rsid w:val="00F913CC"/>
    <w:rsid w:val="00F91924"/>
    <w:rsid w:val="00F91B4C"/>
    <w:rsid w:val="00F91BD5"/>
    <w:rsid w:val="00F926D9"/>
    <w:rsid w:val="00F92873"/>
    <w:rsid w:val="00F928FA"/>
    <w:rsid w:val="00F92D8F"/>
    <w:rsid w:val="00F930C9"/>
    <w:rsid w:val="00F930E8"/>
    <w:rsid w:val="00F93138"/>
    <w:rsid w:val="00F9380B"/>
    <w:rsid w:val="00F939BC"/>
    <w:rsid w:val="00F9411A"/>
    <w:rsid w:val="00F9487B"/>
    <w:rsid w:val="00F94AFE"/>
    <w:rsid w:val="00F958A4"/>
    <w:rsid w:val="00F95E49"/>
    <w:rsid w:val="00F95F45"/>
    <w:rsid w:val="00F961DD"/>
    <w:rsid w:val="00F968A0"/>
    <w:rsid w:val="00F96B8C"/>
    <w:rsid w:val="00F9722D"/>
    <w:rsid w:val="00F977B6"/>
    <w:rsid w:val="00F97AA3"/>
    <w:rsid w:val="00FA00BE"/>
    <w:rsid w:val="00FA045D"/>
    <w:rsid w:val="00FA06F6"/>
    <w:rsid w:val="00FA07CB"/>
    <w:rsid w:val="00FA08CD"/>
    <w:rsid w:val="00FA0D0D"/>
    <w:rsid w:val="00FA0ECD"/>
    <w:rsid w:val="00FA1372"/>
    <w:rsid w:val="00FA1596"/>
    <w:rsid w:val="00FA17D1"/>
    <w:rsid w:val="00FA1A2B"/>
    <w:rsid w:val="00FA210E"/>
    <w:rsid w:val="00FA2B60"/>
    <w:rsid w:val="00FA2DAE"/>
    <w:rsid w:val="00FA2EA7"/>
    <w:rsid w:val="00FA3406"/>
    <w:rsid w:val="00FA3408"/>
    <w:rsid w:val="00FA352B"/>
    <w:rsid w:val="00FA3B02"/>
    <w:rsid w:val="00FA408A"/>
    <w:rsid w:val="00FA475B"/>
    <w:rsid w:val="00FA495E"/>
    <w:rsid w:val="00FA5067"/>
    <w:rsid w:val="00FA5DA6"/>
    <w:rsid w:val="00FA6157"/>
    <w:rsid w:val="00FA70D2"/>
    <w:rsid w:val="00FA7210"/>
    <w:rsid w:val="00FA7C0F"/>
    <w:rsid w:val="00FB033E"/>
    <w:rsid w:val="00FB092A"/>
    <w:rsid w:val="00FB0D48"/>
    <w:rsid w:val="00FB1252"/>
    <w:rsid w:val="00FB1667"/>
    <w:rsid w:val="00FB311A"/>
    <w:rsid w:val="00FB3D4F"/>
    <w:rsid w:val="00FB4188"/>
    <w:rsid w:val="00FB441F"/>
    <w:rsid w:val="00FB463A"/>
    <w:rsid w:val="00FB4D21"/>
    <w:rsid w:val="00FB4F30"/>
    <w:rsid w:val="00FB625E"/>
    <w:rsid w:val="00FB62AD"/>
    <w:rsid w:val="00FB69E7"/>
    <w:rsid w:val="00FB6DCA"/>
    <w:rsid w:val="00FB6F77"/>
    <w:rsid w:val="00FB7931"/>
    <w:rsid w:val="00FB7D0C"/>
    <w:rsid w:val="00FB7E09"/>
    <w:rsid w:val="00FB7F72"/>
    <w:rsid w:val="00FC089E"/>
    <w:rsid w:val="00FC1239"/>
    <w:rsid w:val="00FC19DC"/>
    <w:rsid w:val="00FC1BFF"/>
    <w:rsid w:val="00FC2703"/>
    <w:rsid w:val="00FC304F"/>
    <w:rsid w:val="00FC322B"/>
    <w:rsid w:val="00FC32C2"/>
    <w:rsid w:val="00FC3609"/>
    <w:rsid w:val="00FC3631"/>
    <w:rsid w:val="00FC3725"/>
    <w:rsid w:val="00FC3E16"/>
    <w:rsid w:val="00FC4434"/>
    <w:rsid w:val="00FC4728"/>
    <w:rsid w:val="00FC4E27"/>
    <w:rsid w:val="00FC512C"/>
    <w:rsid w:val="00FC551D"/>
    <w:rsid w:val="00FC57B7"/>
    <w:rsid w:val="00FC5BC1"/>
    <w:rsid w:val="00FC67A4"/>
    <w:rsid w:val="00FC6C48"/>
    <w:rsid w:val="00FD03DB"/>
    <w:rsid w:val="00FD0CBD"/>
    <w:rsid w:val="00FD0E44"/>
    <w:rsid w:val="00FD16FA"/>
    <w:rsid w:val="00FD2CAB"/>
    <w:rsid w:val="00FD3497"/>
    <w:rsid w:val="00FD35F1"/>
    <w:rsid w:val="00FD38C0"/>
    <w:rsid w:val="00FD3BF4"/>
    <w:rsid w:val="00FD3D21"/>
    <w:rsid w:val="00FD3E82"/>
    <w:rsid w:val="00FD403D"/>
    <w:rsid w:val="00FD43C4"/>
    <w:rsid w:val="00FD45BB"/>
    <w:rsid w:val="00FD465F"/>
    <w:rsid w:val="00FD59F5"/>
    <w:rsid w:val="00FD5E70"/>
    <w:rsid w:val="00FD6156"/>
    <w:rsid w:val="00FD633B"/>
    <w:rsid w:val="00FD64D9"/>
    <w:rsid w:val="00FD6AAA"/>
    <w:rsid w:val="00FD6B53"/>
    <w:rsid w:val="00FD6DF4"/>
    <w:rsid w:val="00FD6F41"/>
    <w:rsid w:val="00FD73E6"/>
    <w:rsid w:val="00FD78BE"/>
    <w:rsid w:val="00FD7D3F"/>
    <w:rsid w:val="00FE0039"/>
    <w:rsid w:val="00FE088F"/>
    <w:rsid w:val="00FE1431"/>
    <w:rsid w:val="00FE17A1"/>
    <w:rsid w:val="00FE1DF9"/>
    <w:rsid w:val="00FE2120"/>
    <w:rsid w:val="00FE2251"/>
    <w:rsid w:val="00FE263F"/>
    <w:rsid w:val="00FE29A5"/>
    <w:rsid w:val="00FE29D1"/>
    <w:rsid w:val="00FE29E8"/>
    <w:rsid w:val="00FE2A6A"/>
    <w:rsid w:val="00FE2B62"/>
    <w:rsid w:val="00FE2E0F"/>
    <w:rsid w:val="00FE34F9"/>
    <w:rsid w:val="00FE358E"/>
    <w:rsid w:val="00FE385C"/>
    <w:rsid w:val="00FE3AC4"/>
    <w:rsid w:val="00FE3F58"/>
    <w:rsid w:val="00FE47C8"/>
    <w:rsid w:val="00FE5AEA"/>
    <w:rsid w:val="00FE5B66"/>
    <w:rsid w:val="00FE5D16"/>
    <w:rsid w:val="00FE705A"/>
    <w:rsid w:val="00FE7196"/>
    <w:rsid w:val="00FF0622"/>
    <w:rsid w:val="00FF108D"/>
    <w:rsid w:val="00FF15C3"/>
    <w:rsid w:val="00FF189E"/>
    <w:rsid w:val="00FF1A44"/>
    <w:rsid w:val="00FF1A58"/>
    <w:rsid w:val="00FF1AE8"/>
    <w:rsid w:val="00FF25BD"/>
    <w:rsid w:val="00FF2BC2"/>
    <w:rsid w:val="00FF3468"/>
    <w:rsid w:val="00FF5039"/>
    <w:rsid w:val="00FF5066"/>
    <w:rsid w:val="00FF525B"/>
    <w:rsid w:val="00FF541C"/>
    <w:rsid w:val="00FF5742"/>
    <w:rsid w:val="00FF5EEC"/>
    <w:rsid w:val="00FF6628"/>
    <w:rsid w:val="00FF7D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style="mso-height-percent:200;mso-width-relative:margin;mso-height-relative:margin" fillcolor="none [3212]" strokecolor="none [3212]">
      <v:fill color="none [3212]"/>
      <v:stroke color="none [3212]"/>
      <v:textbox style="mso-fit-shape-to-text:t"/>
      <o:colormru v:ext="edit" colors="#002663,#e36f1e"/>
    </o:shapedefaults>
    <o:shapelayout v:ext="edit">
      <o:idmap v:ext="edit" data="1"/>
      <o:rules v:ext="edit">
        <o:r id="V:Rule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toa heading" w:unhideWhenUsed="0"/>
    <w:lsdException w:name="List Bullet"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0" w:unhideWhenUsed="0"/>
    <w:lsdException w:name="Block Text"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semiHidden/>
    <w:qFormat/>
    <w:rsid w:val="00D33F0D"/>
    <w:pPr>
      <w:spacing w:before="120" w:after="120" w:line="280" w:lineRule="atLeast"/>
      <w:jc w:val="both"/>
    </w:pPr>
    <w:rPr>
      <w:rFonts w:ascii="Calibri" w:eastAsiaTheme="minorEastAsia" w:hAnsi="Calibri"/>
      <w:lang w:eastAsia="en-NZ"/>
    </w:rPr>
  </w:style>
  <w:style w:type="paragraph" w:styleId="Heading1">
    <w:name w:val="heading 1"/>
    <w:aliases w:val="dark brown"/>
    <w:basedOn w:val="Normal"/>
    <w:next w:val="BodyText"/>
    <w:link w:val="Heading1Char"/>
    <w:qFormat/>
    <w:rsid w:val="00BD09FA"/>
    <w:pPr>
      <w:keepNext/>
      <w:keepLines/>
      <w:tabs>
        <w:tab w:val="left" w:pos="851"/>
      </w:tabs>
      <w:spacing w:before="0" w:after="600" w:line="240" w:lineRule="auto"/>
      <w:jc w:val="left"/>
      <w:outlineLvl w:val="0"/>
    </w:pPr>
    <w:rPr>
      <w:rFonts w:eastAsiaTheme="majorEastAsia" w:cstheme="majorBidi"/>
      <w:b/>
      <w:bCs/>
      <w:color w:val="E36F1E"/>
      <w:sz w:val="48"/>
      <w:szCs w:val="28"/>
    </w:rPr>
  </w:style>
  <w:style w:type="paragraph" w:styleId="Heading2">
    <w:name w:val="heading 2"/>
    <w:basedOn w:val="Normal"/>
    <w:next w:val="Normal"/>
    <w:link w:val="Heading2Char"/>
    <w:qFormat/>
    <w:rsid w:val="00BD09FA"/>
    <w:pPr>
      <w:keepNext/>
      <w:keepLines/>
      <w:tabs>
        <w:tab w:val="left" w:pos="737"/>
      </w:tabs>
      <w:spacing w:before="360" w:after="0" w:line="240" w:lineRule="auto"/>
      <w:jc w:val="left"/>
      <w:outlineLvl w:val="1"/>
    </w:pPr>
    <w:rPr>
      <w:rFonts w:eastAsiaTheme="majorEastAsia" w:cstheme="majorBidi"/>
      <w:b/>
      <w:bCs/>
      <w:color w:val="E36F1E"/>
      <w:sz w:val="36"/>
      <w:szCs w:val="26"/>
    </w:rPr>
  </w:style>
  <w:style w:type="paragraph" w:styleId="Heading3">
    <w:name w:val="heading 3"/>
    <w:basedOn w:val="Normal"/>
    <w:next w:val="Normal"/>
    <w:link w:val="Heading3Char"/>
    <w:qFormat/>
    <w:rsid w:val="005506E4"/>
    <w:pPr>
      <w:keepNext/>
      <w:keepLines/>
      <w:tabs>
        <w:tab w:val="left" w:pos="851"/>
      </w:tabs>
      <w:spacing w:before="360" w:after="0" w:line="240" w:lineRule="auto"/>
      <w:jc w:val="left"/>
      <w:outlineLvl w:val="2"/>
    </w:pPr>
    <w:rPr>
      <w:rFonts w:eastAsiaTheme="majorEastAsia" w:cstheme="majorBidi"/>
      <w:b/>
      <w:bCs/>
      <w:color w:val="183C47"/>
      <w:sz w:val="28"/>
    </w:rPr>
  </w:style>
  <w:style w:type="paragraph" w:styleId="Heading4">
    <w:name w:val="heading 4"/>
    <w:basedOn w:val="Heading3"/>
    <w:next w:val="Normal"/>
    <w:link w:val="Heading4Char"/>
    <w:uiPriority w:val="9"/>
    <w:qFormat/>
    <w:rsid w:val="00FD16FA"/>
    <w:pPr>
      <w:outlineLvl w:val="3"/>
    </w:pPr>
    <w:rPr>
      <w:color w:val="006C67"/>
      <w:sz w:val="24"/>
    </w:rPr>
  </w:style>
  <w:style w:type="paragraph" w:styleId="Heading5">
    <w:name w:val="heading 5"/>
    <w:basedOn w:val="Normal"/>
    <w:next w:val="Normal"/>
    <w:link w:val="Heading5Char"/>
    <w:uiPriority w:val="9"/>
    <w:qFormat/>
    <w:rsid w:val="00BD09FA"/>
    <w:pPr>
      <w:keepNext/>
      <w:keepLines/>
      <w:spacing w:before="360" w:after="0" w:line="240" w:lineRule="auto"/>
      <w:jc w:val="left"/>
      <w:outlineLvl w:val="4"/>
    </w:pPr>
    <w:rPr>
      <w:rFonts w:eastAsiaTheme="majorEastAsia" w:cstheme="majorBidi"/>
      <w:i/>
      <w:sz w:val="24"/>
    </w:rPr>
  </w:style>
  <w:style w:type="paragraph" w:styleId="Heading6">
    <w:name w:val="heading 6"/>
    <w:basedOn w:val="Normal"/>
    <w:next w:val="Normal"/>
    <w:link w:val="Heading6Char"/>
    <w:uiPriority w:val="9"/>
    <w:semiHidden/>
    <w:unhideWhenUsed/>
    <w:qFormat/>
    <w:rsid w:val="009E0C89"/>
    <w:pPr>
      <w:keepNext/>
      <w:keepLines/>
      <w:spacing w:before="200" w:line="240" w:lineRule="auto"/>
      <w:outlineLvl w:val="5"/>
    </w:pPr>
    <w:rPr>
      <w:rFonts w:asciiTheme="majorHAnsi" w:eastAsiaTheme="majorEastAsia" w:hAnsiTheme="majorHAnsi" w:cstheme="majorBidi"/>
      <w:i/>
      <w:iCs/>
      <w:color w:val="243F60" w:themeColor="accent1" w:themeShade="7F"/>
      <w:sz w:val="20"/>
      <w:szCs w:val="24"/>
      <w:lang w:eastAsia="zh-CN"/>
    </w:rPr>
  </w:style>
  <w:style w:type="paragraph" w:styleId="Heading7">
    <w:name w:val="heading 7"/>
    <w:basedOn w:val="Normal"/>
    <w:next w:val="Normal"/>
    <w:link w:val="Heading7Char"/>
    <w:uiPriority w:val="9"/>
    <w:semiHidden/>
    <w:unhideWhenUsed/>
    <w:qFormat/>
    <w:rsid w:val="009E0C89"/>
    <w:pPr>
      <w:keepNext/>
      <w:keepLines/>
      <w:spacing w:before="200" w:line="240" w:lineRule="auto"/>
      <w:outlineLvl w:val="6"/>
    </w:pPr>
    <w:rPr>
      <w:rFonts w:asciiTheme="majorHAnsi" w:eastAsiaTheme="majorEastAsia" w:hAnsiTheme="majorHAnsi" w:cstheme="majorBidi"/>
      <w:i/>
      <w:iCs/>
      <w:color w:val="404040" w:themeColor="text1" w:themeTint="BF"/>
      <w:sz w:val="20"/>
      <w:szCs w:val="24"/>
      <w:lang w:eastAsia="zh-CN"/>
    </w:rPr>
  </w:style>
  <w:style w:type="paragraph" w:styleId="Heading8">
    <w:name w:val="heading 8"/>
    <w:basedOn w:val="Normal"/>
    <w:next w:val="Normal"/>
    <w:link w:val="Heading8Char"/>
    <w:uiPriority w:val="9"/>
    <w:semiHidden/>
    <w:unhideWhenUsed/>
    <w:qFormat/>
    <w:rsid w:val="009E0C89"/>
    <w:pPr>
      <w:keepNext/>
      <w:keepLines/>
      <w:spacing w:before="200" w:line="240" w:lineRule="auto"/>
      <w:outlineLvl w:val="7"/>
    </w:pPr>
    <w:rPr>
      <w:rFonts w:asciiTheme="majorHAnsi" w:eastAsiaTheme="majorEastAsia" w:hAnsiTheme="majorHAnsi" w:cstheme="majorBidi"/>
      <w:color w:val="404040" w:themeColor="text1" w:themeTint="BF"/>
      <w:sz w:val="20"/>
      <w:szCs w:val="20"/>
      <w:lang w:eastAsia="zh-CN"/>
    </w:rPr>
  </w:style>
  <w:style w:type="paragraph" w:styleId="Heading9">
    <w:name w:val="heading 9"/>
    <w:basedOn w:val="Normal"/>
    <w:next w:val="Normal"/>
    <w:link w:val="Heading9Char"/>
    <w:uiPriority w:val="9"/>
    <w:semiHidden/>
    <w:unhideWhenUsed/>
    <w:qFormat/>
    <w:rsid w:val="009E0C89"/>
    <w:pPr>
      <w:keepNext/>
      <w:keepLines/>
      <w:spacing w:before="200" w:line="240" w:lineRule="auto"/>
      <w:outlineLvl w:val="8"/>
    </w:pPr>
    <w:rPr>
      <w:rFonts w:asciiTheme="majorHAnsi" w:eastAsiaTheme="majorEastAsia" w:hAnsiTheme="majorHAnsi" w:cstheme="majorBidi"/>
      <w:i/>
      <w:iCs/>
      <w:color w:val="404040" w:themeColor="text1" w:themeTint="BF"/>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27B6"/>
    <w:pPr>
      <w:jc w:val="left"/>
    </w:pPr>
  </w:style>
  <w:style w:type="character" w:customStyle="1" w:styleId="BodyTextChar">
    <w:name w:val="Body Text Char"/>
    <w:basedOn w:val="DefaultParagraphFont"/>
    <w:link w:val="BodyText"/>
    <w:rsid w:val="004E27B6"/>
    <w:rPr>
      <w:rFonts w:ascii="Calibri" w:eastAsiaTheme="minorEastAsia" w:hAnsi="Calibri"/>
      <w:lang w:eastAsia="en-NZ"/>
    </w:rPr>
  </w:style>
  <w:style w:type="character" w:customStyle="1" w:styleId="Heading1Char">
    <w:name w:val="Heading 1 Char"/>
    <w:aliases w:val="dark brown Char"/>
    <w:basedOn w:val="DefaultParagraphFont"/>
    <w:link w:val="Heading1"/>
    <w:rsid w:val="00BD09FA"/>
    <w:rPr>
      <w:rFonts w:ascii="Calibri" w:eastAsiaTheme="majorEastAsia" w:hAnsi="Calibri" w:cstheme="majorBidi"/>
      <w:b/>
      <w:bCs/>
      <w:color w:val="E36F1E"/>
      <w:sz w:val="48"/>
      <w:szCs w:val="28"/>
      <w:lang w:eastAsia="en-NZ"/>
    </w:rPr>
  </w:style>
  <w:style w:type="character" w:customStyle="1" w:styleId="Heading2Char">
    <w:name w:val="Heading 2 Char"/>
    <w:basedOn w:val="DefaultParagraphFont"/>
    <w:link w:val="Heading2"/>
    <w:rsid w:val="00BD09FA"/>
    <w:rPr>
      <w:rFonts w:ascii="Calibri" w:eastAsiaTheme="majorEastAsia" w:hAnsi="Calibri" w:cstheme="majorBidi"/>
      <w:b/>
      <w:bCs/>
      <w:color w:val="E36F1E"/>
      <w:sz w:val="36"/>
      <w:szCs w:val="26"/>
      <w:lang w:eastAsia="en-NZ"/>
    </w:rPr>
  </w:style>
  <w:style w:type="character" w:customStyle="1" w:styleId="Heading3Char">
    <w:name w:val="Heading 3 Char"/>
    <w:basedOn w:val="DefaultParagraphFont"/>
    <w:link w:val="Heading3"/>
    <w:rsid w:val="005506E4"/>
    <w:rPr>
      <w:rFonts w:ascii="Calibri" w:eastAsiaTheme="majorEastAsia" w:hAnsi="Calibri" w:cstheme="majorBidi"/>
      <w:b/>
      <w:bCs/>
      <w:color w:val="183C47"/>
      <w:sz w:val="28"/>
      <w:lang w:eastAsia="en-NZ"/>
    </w:rPr>
  </w:style>
  <w:style w:type="character" w:customStyle="1" w:styleId="Heading4Char">
    <w:name w:val="Heading 4 Char"/>
    <w:basedOn w:val="DefaultParagraphFont"/>
    <w:link w:val="Heading4"/>
    <w:uiPriority w:val="9"/>
    <w:rsid w:val="00FD16FA"/>
    <w:rPr>
      <w:rFonts w:ascii="Calibri" w:eastAsiaTheme="majorEastAsia" w:hAnsi="Calibri" w:cstheme="majorBidi"/>
      <w:b/>
      <w:bCs/>
      <w:color w:val="006C67"/>
      <w:sz w:val="24"/>
      <w:lang w:eastAsia="en-NZ"/>
    </w:rPr>
  </w:style>
  <w:style w:type="character" w:customStyle="1" w:styleId="Heading5Char">
    <w:name w:val="Heading 5 Char"/>
    <w:basedOn w:val="DefaultParagraphFont"/>
    <w:link w:val="Heading5"/>
    <w:uiPriority w:val="9"/>
    <w:rsid w:val="00BD09FA"/>
    <w:rPr>
      <w:rFonts w:ascii="Calibri" w:eastAsiaTheme="majorEastAsia" w:hAnsi="Calibri" w:cstheme="majorBidi"/>
      <w:i/>
      <w:sz w:val="24"/>
      <w:lang w:eastAsia="en-NZ"/>
    </w:rPr>
  </w:style>
  <w:style w:type="paragraph" w:customStyle="1" w:styleId="Sectiontitle-lightbrown">
    <w:name w:val="Section title - light brown"/>
    <w:basedOn w:val="Sectiontitle-darkbrown"/>
    <w:next w:val="BodyText"/>
    <w:semiHidden/>
    <w:qFormat/>
    <w:rsid w:val="00D7029F"/>
    <w:rPr>
      <w:color w:val="F4D19C"/>
    </w:rPr>
  </w:style>
  <w:style w:type="paragraph" w:customStyle="1" w:styleId="Sectiontitle-darkbrown">
    <w:name w:val="Section title - dark brown"/>
    <w:basedOn w:val="Heading1"/>
    <w:semiHidden/>
    <w:qFormat/>
    <w:rsid w:val="005E32A1"/>
    <w:pPr>
      <w:keepLines w:val="0"/>
      <w:spacing w:after="0"/>
    </w:pPr>
    <w:rPr>
      <w:sz w:val="72"/>
    </w:rPr>
  </w:style>
  <w:style w:type="paragraph" w:styleId="ListParagraph">
    <w:name w:val="List Paragraph"/>
    <w:basedOn w:val="Normal"/>
    <w:link w:val="ListParagraphChar"/>
    <w:uiPriority w:val="34"/>
    <w:qFormat/>
    <w:rsid w:val="00361511"/>
    <w:pPr>
      <w:ind w:left="397" w:hanging="397"/>
      <w:jc w:val="left"/>
    </w:pPr>
  </w:style>
  <w:style w:type="character" w:customStyle="1" w:styleId="ListParagraphChar">
    <w:name w:val="List Paragraph Char"/>
    <w:link w:val="ListParagraph"/>
    <w:uiPriority w:val="1"/>
    <w:locked/>
    <w:rsid w:val="00361511"/>
    <w:rPr>
      <w:rFonts w:ascii="Calibri" w:eastAsiaTheme="minorEastAsia" w:hAnsi="Calibri"/>
      <w:color w:val="00264C"/>
      <w:lang w:eastAsia="en-NZ"/>
    </w:rPr>
  </w:style>
  <w:style w:type="character" w:styleId="Hyperlink">
    <w:name w:val="Hyperlink"/>
    <w:basedOn w:val="DefaultParagraphFont"/>
    <w:uiPriority w:val="99"/>
    <w:rsid w:val="009B0142"/>
    <w:rPr>
      <w:color w:val="14456E"/>
      <w:u w:val="single"/>
    </w:rPr>
  </w:style>
  <w:style w:type="table" w:styleId="TableGrid">
    <w:name w:val="Table Grid"/>
    <w:basedOn w:val="TableNormal"/>
    <w:uiPriority w:val="59"/>
    <w:rsid w:val="009B0142"/>
    <w:pPr>
      <w:spacing w:after="0" w:line="240" w:lineRule="auto"/>
    </w:pPr>
    <w:rPr>
      <w:rFonts w:eastAsiaTheme="minorEastAsia"/>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E27B6"/>
    <w:pPr>
      <w:spacing w:before="0" w:after="60" w:line="240" w:lineRule="atLeast"/>
      <w:ind w:left="284" w:hanging="284"/>
      <w:jc w:val="left"/>
    </w:pPr>
    <w:rPr>
      <w:rFonts w:eastAsia="Times New Roman" w:cs="Times New Roman"/>
      <w:sz w:val="18"/>
      <w:szCs w:val="20"/>
      <w:lang w:val="x-none" w:eastAsia="en-US"/>
    </w:rPr>
  </w:style>
  <w:style w:type="character" w:customStyle="1" w:styleId="FootnoteTextChar">
    <w:name w:val="Footnote Text Char"/>
    <w:basedOn w:val="DefaultParagraphFont"/>
    <w:link w:val="FootnoteText"/>
    <w:rsid w:val="004E27B6"/>
    <w:rPr>
      <w:rFonts w:ascii="Calibri" w:eastAsia="Times New Roman" w:hAnsi="Calibri" w:cs="Times New Roman"/>
      <w:sz w:val="18"/>
      <w:szCs w:val="20"/>
      <w:lang w:val="x-none"/>
    </w:rPr>
  </w:style>
  <w:style w:type="character" w:styleId="FootnoteReference">
    <w:name w:val="footnote reference"/>
    <w:basedOn w:val="DefaultParagraphFont"/>
    <w:uiPriority w:val="99"/>
    <w:rsid w:val="00F440ED"/>
    <w:rPr>
      <w:rFonts w:ascii="Calibri" w:hAnsi="Calibri"/>
      <w:sz w:val="22"/>
      <w:vertAlign w:val="superscript"/>
    </w:rPr>
  </w:style>
  <w:style w:type="paragraph" w:styleId="BalloonText">
    <w:name w:val="Balloon Text"/>
    <w:basedOn w:val="Normal"/>
    <w:link w:val="BalloonTextChar"/>
    <w:uiPriority w:val="99"/>
    <w:semiHidden/>
    <w:unhideWhenUsed/>
    <w:rsid w:val="00B40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30"/>
    <w:rPr>
      <w:rFonts w:ascii="Tahoma" w:eastAsiaTheme="minorEastAsia" w:hAnsi="Tahoma" w:cs="Tahoma"/>
      <w:sz w:val="16"/>
      <w:szCs w:val="16"/>
      <w:lang w:eastAsia="en-NZ"/>
    </w:rPr>
  </w:style>
  <w:style w:type="paragraph" w:styleId="Title">
    <w:name w:val="Title"/>
    <w:basedOn w:val="Normal"/>
    <w:next w:val="Normal"/>
    <w:link w:val="TitleChar"/>
    <w:uiPriority w:val="10"/>
    <w:qFormat/>
    <w:rsid w:val="00CC51FF"/>
    <w:pPr>
      <w:spacing w:before="0" w:after="600" w:line="240" w:lineRule="auto"/>
      <w:jc w:val="left"/>
    </w:pPr>
    <w:rPr>
      <w:rFonts w:eastAsiaTheme="majorEastAsia" w:cstheme="majorBidi"/>
      <w:b/>
      <w:color w:val="00264C"/>
      <w:sz w:val="52"/>
      <w:szCs w:val="52"/>
    </w:rPr>
  </w:style>
  <w:style w:type="character" w:customStyle="1" w:styleId="TitleChar">
    <w:name w:val="Title Char"/>
    <w:basedOn w:val="DefaultParagraphFont"/>
    <w:link w:val="Title"/>
    <w:uiPriority w:val="10"/>
    <w:rsid w:val="00CC51FF"/>
    <w:rPr>
      <w:rFonts w:ascii="Calibri" w:eastAsiaTheme="majorEastAsia" w:hAnsi="Calibri" w:cstheme="majorBidi"/>
      <w:b/>
      <w:color w:val="00264C"/>
      <w:sz w:val="52"/>
      <w:szCs w:val="52"/>
      <w:lang w:eastAsia="en-NZ"/>
    </w:rPr>
  </w:style>
  <w:style w:type="paragraph" w:customStyle="1" w:styleId="Bullet">
    <w:name w:val="Bullet"/>
    <w:basedOn w:val="Normal"/>
    <w:qFormat/>
    <w:rsid w:val="004E27B6"/>
    <w:pPr>
      <w:numPr>
        <w:numId w:val="1"/>
      </w:numPr>
      <w:tabs>
        <w:tab w:val="clear" w:pos="567"/>
        <w:tab w:val="left" w:pos="397"/>
      </w:tabs>
      <w:spacing w:before="0" w:line="280" w:lineRule="exact"/>
      <w:ind w:left="397" w:hanging="397"/>
      <w:jc w:val="left"/>
    </w:pPr>
    <w:rPr>
      <w:rFonts w:eastAsia="Times New Roman" w:cs="Times New Roman"/>
      <w:szCs w:val="20"/>
    </w:rPr>
  </w:style>
  <w:style w:type="paragraph" w:customStyle="1" w:styleId="Footereven">
    <w:name w:val="Footer even"/>
    <w:basedOn w:val="Normal"/>
    <w:rsid w:val="004E27B6"/>
    <w:pPr>
      <w:tabs>
        <w:tab w:val="left" w:pos="567"/>
      </w:tabs>
      <w:spacing w:after="0" w:line="240" w:lineRule="auto"/>
      <w:jc w:val="left"/>
    </w:pPr>
    <w:rPr>
      <w:rFonts w:eastAsia="Times New Roman" w:cs="Arial"/>
      <w:sz w:val="18"/>
      <w:szCs w:val="16"/>
      <w:lang w:eastAsia="en-US"/>
    </w:rPr>
  </w:style>
  <w:style w:type="paragraph" w:customStyle="1" w:styleId="Footerodd">
    <w:name w:val="Footer odd"/>
    <w:basedOn w:val="Normal"/>
    <w:rsid w:val="004E27B6"/>
    <w:pPr>
      <w:tabs>
        <w:tab w:val="right" w:pos="7938"/>
        <w:tab w:val="right" w:pos="8505"/>
      </w:tabs>
      <w:spacing w:after="0" w:line="240" w:lineRule="auto"/>
    </w:pPr>
    <w:rPr>
      <w:rFonts w:eastAsia="Times New Roman" w:cs="Arial"/>
      <w:sz w:val="18"/>
      <w:szCs w:val="16"/>
      <w:lang w:eastAsia="en-US"/>
    </w:rPr>
  </w:style>
  <w:style w:type="character" w:styleId="PageNumber">
    <w:name w:val="page number"/>
    <w:basedOn w:val="DefaultParagraphFont"/>
    <w:semiHidden/>
    <w:rsid w:val="005078F6"/>
    <w:rPr>
      <w:rFonts w:ascii="Arial" w:hAnsi="Arial" w:cs="Arial"/>
      <w:b/>
      <w:bCs/>
      <w:sz w:val="20"/>
      <w:szCs w:val="20"/>
    </w:rPr>
  </w:style>
  <w:style w:type="paragraph" w:customStyle="1" w:styleId="Tablebullet">
    <w:name w:val="Tablebullet"/>
    <w:basedOn w:val="Tabletext"/>
    <w:rsid w:val="004E27B6"/>
    <w:pPr>
      <w:numPr>
        <w:numId w:val="2"/>
      </w:numPr>
      <w:tabs>
        <w:tab w:val="clear" w:pos="338"/>
        <w:tab w:val="clear" w:pos="397"/>
      </w:tabs>
      <w:spacing w:before="40" w:after="40"/>
      <w:ind w:left="227" w:hanging="227"/>
    </w:pPr>
  </w:style>
  <w:style w:type="paragraph" w:customStyle="1" w:styleId="Tabletext">
    <w:name w:val="Tabletext"/>
    <w:basedOn w:val="Normal"/>
    <w:rsid w:val="004E27B6"/>
    <w:pPr>
      <w:tabs>
        <w:tab w:val="left" w:pos="397"/>
      </w:tabs>
      <w:spacing w:before="80" w:after="80" w:line="220" w:lineRule="atLeast"/>
      <w:jc w:val="left"/>
    </w:pPr>
    <w:rPr>
      <w:rFonts w:eastAsia="Times New Roman" w:cs="Times New Roman"/>
      <w:sz w:val="18"/>
      <w:szCs w:val="20"/>
      <w:lang w:eastAsia="en-US"/>
    </w:rPr>
  </w:style>
  <w:style w:type="paragraph" w:customStyle="1" w:styleId="TableDash">
    <w:name w:val="TableDash"/>
    <w:basedOn w:val="Tabletext"/>
    <w:rsid w:val="003D41DB"/>
    <w:pPr>
      <w:numPr>
        <w:ilvl w:val="1"/>
        <w:numId w:val="2"/>
      </w:numPr>
      <w:spacing w:after="40" w:line="240" w:lineRule="auto"/>
    </w:pPr>
  </w:style>
  <w:style w:type="paragraph" w:customStyle="1" w:styleId="Tablehead">
    <w:name w:val="Tablehead"/>
    <w:basedOn w:val="Normal"/>
    <w:semiHidden/>
    <w:rsid w:val="00BB2F3D"/>
    <w:pPr>
      <w:keepNext/>
      <w:spacing w:before="60" w:after="60" w:line="240" w:lineRule="auto"/>
      <w:jc w:val="left"/>
      <w:outlineLvl w:val="0"/>
    </w:pPr>
    <w:rPr>
      <w:rFonts w:eastAsia="Times New Roman" w:cs="Times New Roman"/>
      <w:b/>
      <w:bCs/>
      <w:sz w:val="18"/>
      <w:szCs w:val="20"/>
      <w:lang w:eastAsia="en-US"/>
    </w:rPr>
  </w:style>
  <w:style w:type="paragraph" w:styleId="Subtitle">
    <w:name w:val="Subtitle"/>
    <w:basedOn w:val="Normal"/>
    <w:next w:val="Normal"/>
    <w:link w:val="SubtitleChar"/>
    <w:rsid w:val="00CC51FF"/>
    <w:pPr>
      <w:numPr>
        <w:ilvl w:val="1"/>
      </w:numPr>
      <w:jc w:val="left"/>
    </w:pPr>
    <w:rPr>
      <w:rFonts w:eastAsiaTheme="majorEastAsia" w:cstheme="majorBidi"/>
      <w:b/>
      <w:iCs/>
      <w:color w:val="00264C"/>
      <w:sz w:val="36"/>
      <w:szCs w:val="24"/>
    </w:rPr>
  </w:style>
  <w:style w:type="character" w:customStyle="1" w:styleId="SubtitleChar">
    <w:name w:val="Subtitle Char"/>
    <w:basedOn w:val="DefaultParagraphFont"/>
    <w:link w:val="Subtitle"/>
    <w:rsid w:val="00CC51FF"/>
    <w:rPr>
      <w:rFonts w:ascii="Calibri" w:eastAsiaTheme="majorEastAsia" w:hAnsi="Calibri" w:cstheme="majorBidi"/>
      <w:b/>
      <w:iCs/>
      <w:color w:val="00264C"/>
      <w:sz w:val="36"/>
      <w:szCs w:val="24"/>
      <w:lang w:eastAsia="en-NZ"/>
    </w:rPr>
  </w:style>
  <w:style w:type="paragraph" w:customStyle="1" w:styleId="Sub-bullet">
    <w:name w:val="Sub-bullet"/>
    <w:basedOn w:val="ListParagraph"/>
    <w:next w:val="BodyText"/>
    <w:qFormat/>
    <w:rsid w:val="004E27B6"/>
    <w:pPr>
      <w:numPr>
        <w:ilvl w:val="1"/>
        <w:numId w:val="3"/>
      </w:numPr>
      <w:tabs>
        <w:tab w:val="clear" w:pos="1440"/>
      </w:tabs>
      <w:spacing w:before="0"/>
      <w:ind w:left="794" w:hanging="397"/>
    </w:pPr>
    <w:rPr>
      <w:rFonts w:eastAsia="Times New Roman" w:cs="Times New Roman"/>
    </w:rPr>
  </w:style>
  <w:style w:type="paragraph" w:styleId="Header">
    <w:name w:val="header"/>
    <w:basedOn w:val="Normal"/>
    <w:link w:val="HeaderChar"/>
    <w:rsid w:val="00945D28"/>
    <w:pPr>
      <w:tabs>
        <w:tab w:val="center" w:pos="4513"/>
        <w:tab w:val="right" w:pos="9026"/>
      </w:tabs>
      <w:spacing w:before="0" w:after="0" w:line="240" w:lineRule="auto"/>
    </w:pPr>
  </w:style>
  <w:style w:type="character" w:customStyle="1" w:styleId="HeaderChar">
    <w:name w:val="Header Char"/>
    <w:basedOn w:val="DefaultParagraphFont"/>
    <w:link w:val="Header"/>
    <w:rsid w:val="002A234F"/>
    <w:rPr>
      <w:rFonts w:ascii="Calibri" w:eastAsiaTheme="minorEastAsia" w:hAnsi="Calibri"/>
      <w:color w:val="00264C"/>
      <w:lang w:eastAsia="en-NZ"/>
    </w:rPr>
  </w:style>
  <w:style w:type="paragraph" w:styleId="Footer">
    <w:name w:val="footer"/>
    <w:basedOn w:val="Normal"/>
    <w:link w:val="FooterChar"/>
    <w:rsid w:val="00945D28"/>
    <w:pPr>
      <w:tabs>
        <w:tab w:val="center" w:pos="4513"/>
        <w:tab w:val="right" w:pos="9026"/>
      </w:tabs>
      <w:spacing w:before="0" w:after="0" w:line="240" w:lineRule="auto"/>
    </w:pPr>
  </w:style>
  <w:style w:type="character" w:customStyle="1" w:styleId="FooterChar">
    <w:name w:val="Footer Char"/>
    <w:basedOn w:val="DefaultParagraphFont"/>
    <w:link w:val="Footer"/>
    <w:rsid w:val="002A234F"/>
    <w:rPr>
      <w:rFonts w:ascii="Calibri" w:eastAsiaTheme="minorEastAsia" w:hAnsi="Calibri"/>
      <w:color w:val="00264C"/>
      <w:lang w:eastAsia="en-NZ"/>
    </w:rPr>
  </w:style>
  <w:style w:type="paragraph" w:customStyle="1" w:styleId="Box">
    <w:name w:val="Box"/>
    <w:basedOn w:val="Normal"/>
    <w:next w:val="Normal"/>
    <w:semiHidden/>
    <w:rsid w:val="002E22ED"/>
    <w:pPr>
      <w:pBdr>
        <w:top w:val="single" w:sz="6" w:space="15" w:color="auto"/>
        <w:left w:val="single" w:sz="6" w:space="15" w:color="auto"/>
        <w:bottom w:val="single" w:sz="6" w:space="15" w:color="auto"/>
        <w:right w:val="single" w:sz="6" w:space="15" w:color="auto"/>
      </w:pBdr>
      <w:spacing w:before="0" w:after="0"/>
      <w:ind w:left="284" w:right="284"/>
    </w:pPr>
    <w:rPr>
      <w:rFonts w:eastAsia="Times New Roman" w:cs="Times New Roman"/>
      <w:szCs w:val="20"/>
      <w:lang w:eastAsia="en-US"/>
    </w:rPr>
  </w:style>
  <w:style w:type="paragraph" w:customStyle="1" w:styleId="Boxbullet">
    <w:name w:val="Box bullet"/>
    <w:basedOn w:val="Box"/>
    <w:semiHidden/>
    <w:rsid w:val="000F2875"/>
    <w:pPr>
      <w:numPr>
        <w:numId w:val="4"/>
      </w:numPr>
      <w:spacing w:before="120"/>
    </w:pPr>
  </w:style>
  <w:style w:type="paragraph" w:customStyle="1" w:styleId="Boxheading">
    <w:name w:val="Box heading"/>
    <w:basedOn w:val="Box"/>
    <w:next w:val="Box"/>
    <w:semiHidden/>
    <w:rsid w:val="00E76731"/>
    <w:pPr>
      <w:keepNext/>
      <w:spacing w:after="160" w:line="240" w:lineRule="auto"/>
      <w:jc w:val="left"/>
    </w:pPr>
    <w:rPr>
      <w:b/>
    </w:rPr>
  </w:style>
  <w:style w:type="paragraph" w:customStyle="1" w:styleId="Boxnumbered">
    <w:name w:val="Box numbered"/>
    <w:basedOn w:val="Boxbullet"/>
    <w:next w:val="BodyText"/>
    <w:semiHidden/>
    <w:qFormat/>
    <w:rsid w:val="006E69DE"/>
    <w:pPr>
      <w:numPr>
        <w:numId w:val="5"/>
      </w:numPr>
    </w:pPr>
  </w:style>
  <w:style w:type="paragraph" w:styleId="Quote">
    <w:name w:val="Quote"/>
    <w:basedOn w:val="Normal"/>
    <w:next w:val="Normal"/>
    <w:link w:val="QuoteChar"/>
    <w:qFormat/>
    <w:rsid w:val="004E27B6"/>
    <w:pPr>
      <w:ind w:left="397" w:right="397"/>
      <w:jc w:val="left"/>
    </w:pPr>
    <w:rPr>
      <w:iCs/>
      <w:sz w:val="20"/>
    </w:rPr>
  </w:style>
  <w:style w:type="character" w:customStyle="1" w:styleId="QuoteChar">
    <w:name w:val="Quote Char"/>
    <w:basedOn w:val="DefaultParagraphFont"/>
    <w:link w:val="Quote"/>
    <w:rsid w:val="004E27B6"/>
    <w:rPr>
      <w:rFonts w:ascii="Calibri" w:eastAsiaTheme="minorEastAsia" w:hAnsi="Calibri"/>
      <w:iCs/>
      <w:sz w:val="20"/>
      <w:lang w:eastAsia="en-NZ"/>
    </w:rPr>
  </w:style>
  <w:style w:type="paragraph" w:styleId="EndnoteText">
    <w:name w:val="endnote text"/>
    <w:basedOn w:val="Normal"/>
    <w:link w:val="EndnoteTextChar"/>
    <w:semiHidden/>
    <w:rsid w:val="00CE2551"/>
    <w:pPr>
      <w:spacing w:after="0" w:line="240" w:lineRule="exact"/>
      <w:ind w:left="397" w:hanging="397"/>
      <w:jc w:val="left"/>
    </w:pPr>
    <w:rPr>
      <w:sz w:val="20"/>
      <w:szCs w:val="20"/>
    </w:rPr>
  </w:style>
  <w:style w:type="character" w:customStyle="1" w:styleId="EndnoteTextChar">
    <w:name w:val="Endnote Text Char"/>
    <w:basedOn w:val="DefaultParagraphFont"/>
    <w:link w:val="EndnoteText"/>
    <w:semiHidden/>
    <w:rsid w:val="002B1CB7"/>
    <w:rPr>
      <w:rFonts w:ascii="Calibri" w:eastAsiaTheme="minorEastAsia" w:hAnsi="Calibri"/>
      <w:color w:val="00264C"/>
      <w:sz w:val="20"/>
      <w:szCs w:val="20"/>
      <w:lang w:eastAsia="en-NZ"/>
    </w:rPr>
  </w:style>
  <w:style w:type="character" w:styleId="EndnoteReference">
    <w:name w:val="endnote reference"/>
    <w:basedOn w:val="DefaultParagraphFont"/>
    <w:uiPriority w:val="99"/>
    <w:semiHidden/>
    <w:unhideWhenUsed/>
    <w:rsid w:val="00544692"/>
    <w:rPr>
      <w:vertAlign w:val="superscript"/>
    </w:rPr>
  </w:style>
  <w:style w:type="paragraph" w:customStyle="1" w:styleId="Greenbullet-tables">
    <w:name w:val="Green bullet - tables"/>
    <w:basedOn w:val="Bullet"/>
    <w:rsid w:val="00CE2551"/>
    <w:pPr>
      <w:numPr>
        <w:numId w:val="6"/>
      </w:numPr>
      <w:tabs>
        <w:tab w:val="clear" w:pos="397"/>
      </w:tabs>
      <w:ind w:left="681" w:right="284" w:hanging="397"/>
    </w:pPr>
    <w:rPr>
      <w:color w:val="677719"/>
    </w:rPr>
  </w:style>
  <w:style w:type="paragraph" w:customStyle="1" w:styleId="Brownboxheading">
    <w:name w:val="Brown box heading"/>
    <w:basedOn w:val="Boxheading"/>
    <w:uiPriority w:val="1"/>
    <w:semiHidden/>
    <w:qFormat/>
    <w:rsid w:val="003F0C32"/>
    <w:pPr>
      <w:keepLines/>
      <w:pBdr>
        <w:top w:val="single" w:sz="4" w:space="15" w:color="F3CC97"/>
        <w:left w:val="single" w:sz="4" w:space="15" w:color="F3CC97"/>
        <w:bottom w:val="single" w:sz="4" w:space="15" w:color="F3CC97"/>
        <w:right w:val="single" w:sz="4" w:space="15" w:color="F3CC97"/>
      </w:pBdr>
      <w:shd w:val="clear" w:color="B47015" w:fill="F3CC97"/>
    </w:pPr>
    <w:rPr>
      <w:color w:val="B47015"/>
      <w:szCs w:val="22"/>
    </w:rPr>
  </w:style>
  <w:style w:type="paragraph" w:customStyle="1" w:styleId="Brownboxtext">
    <w:name w:val="Brown box text"/>
    <w:basedOn w:val="Box"/>
    <w:uiPriority w:val="1"/>
    <w:semiHidden/>
    <w:qFormat/>
    <w:rsid w:val="005E32A1"/>
    <w:pPr>
      <w:pBdr>
        <w:top w:val="single" w:sz="4" w:space="15" w:color="F3CC97"/>
        <w:left w:val="single" w:sz="4" w:space="15" w:color="F3CC97"/>
        <w:bottom w:val="single" w:sz="4" w:space="15" w:color="F3CC97"/>
        <w:right w:val="single" w:sz="4" w:space="15" w:color="F3CC97"/>
      </w:pBdr>
      <w:shd w:val="clear" w:color="B47015" w:fill="F3CC97"/>
    </w:pPr>
    <w:rPr>
      <w:color w:val="B47015"/>
      <w:szCs w:val="22"/>
    </w:rPr>
  </w:style>
  <w:style w:type="paragraph" w:customStyle="1" w:styleId="Casestudyheading">
    <w:name w:val="Case study heading"/>
    <w:basedOn w:val="BodyText"/>
    <w:rsid w:val="00661920"/>
    <w:pPr>
      <w:keepNext/>
      <w:spacing w:before="160" w:line="240" w:lineRule="auto"/>
      <w:ind w:left="284"/>
    </w:pPr>
    <w:rPr>
      <w:b/>
      <w:caps/>
    </w:rPr>
  </w:style>
  <w:style w:type="paragraph" w:customStyle="1" w:styleId="Greentext-tables">
    <w:name w:val="Green text - tables"/>
    <w:basedOn w:val="BodyText"/>
    <w:rsid w:val="00D32B28"/>
    <w:pPr>
      <w:ind w:left="284" w:right="284"/>
    </w:pPr>
    <w:rPr>
      <w:color w:val="677719"/>
    </w:rPr>
  </w:style>
  <w:style w:type="paragraph" w:customStyle="1" w:styleId="Questionsub-bullet">
    <w:name w:val="Question sub-bullet"/>
    <w:basedOn w:val="Sub-bullet"/>
    <w:semiHidden/>
    <w:qFormat/>
    <w:rsid w:val="00CE2551"/>
    <w:pPr>
      <w:ind w:left="1077" w:right="284"/>
    </w:pPr>
    <w:rPr>
      <w:color w:val="E36F1E"/>
    </w:rPr>
  </w:style>
  <w:style w:type="paragraph" w:customStyle="1" w:styleId="Heading1-lightbrown">
    <w:name w:val="Heading 1 - light brown"/>
    <w:basedOn w:val="Heading1"/>
    <w:next w:val="BodyText"/>
    <w:qFormat/>
    <w:rsid w:val="008D424D"/>
    <w:rPr>
      <w:color w:val="F1B78E"/>
    </w:rPr>
  </w:style>
  <w:style w:type="paragraph" w:customStyle="1" w:styleId="Browntextnumbered">
    <w:name w:val="Brown text numbered"/>
    <w:basedOn w:val="BodyText"/>
    <w:semiHidden/>
    <w:qFormat/>
    <w:rsid w:val="000B6BF8"/>
    <w:pPr>
      <w:numPr>
        <w:numId w:val="7"/>
      </w:numPr>
      <w:spacing w:before="0"/>
      <w:ind w:left="681" w:right="284" w:hanging="397"/>
    </w:pPr>
    <w:rPr>
      <w:rFonts w:eastAsia="Times New Roman"/>
      <w:color w:val="B47015"/>
    </w:rPr>
  </w:style>
  <w:style w:type="paragraph" w:customStyle="1" w:styleId="Quotebullet">
    <w:name w:val="Quote bullet"/>
    <w:basedOn w:val="Bullet"/>
    <w:qFormat/>
    <w:rsid w:val="003D4825"/>
    <w:pPr>
      <w:tabs>
        <w:tab w:val="clear" w:pos="397"/>
      </w:tabs>
      <w:ind w:left="794" w:right="397"/>
    </w:pPr>
    <w:rPr>
      <w:sz w:val="20"/>
    </w:rPr>
  </w:style>
  <w:style w:type="paragraph" w:styleId="TOC1">
    <w:name w:val="toc 1"/>
    <w:basedOn w:val="Normal"/>
    <w:next w:val="Normal"/>
    <w:uiPriority w:val="39"/>
    <w:unhideWhenUsed/>
    <w:rsid w:val="008A4E4C"/>
    <w:pPr>
      <w:tabs>
        <w:tab w:val="left" w:pos="567"/>
        <w:tab w:val="right" w:pos="8494"/>
      </w:tabs>
      <w:spacing w:before="280" w:after="0" w:line="240" w:lineRule="auto"/>
      <w:ind w:right="567"/>
      <w:jc w:val="left"/>
    </w:pPr>
  </w:style>
  <w:style w:type="paragraph" w:styleId="TOC2">
    <w:name w:val="toc 2"/>
    <w:basedOn w:val="Normal"/>
    <w:next w:val="Normal"/>
    <w:uiPriority w:val="39"/>
    <w:unhideWhenUsed/>
    <w:rsid w:val="00C23F33"/>
    <w:pPr>
      <w:tabs>
        <w:tab w:val="left" w:pos="567"/>
        <w:tab w:val="right" w:pos="8494"/>
      </w:tabs>
      <w:spacing w:before="60" w:after="60" w:line="240" w:lineRule="auto"/>
      <w:ind w:left="567" w:right="567"/>
      <w:jc w:val="left"/>
    </w:pPr>
    <w:rPr>
      <w:noProof/>
    </w:rPr>
  </w:style>
  <w:style w:type="paragraph" w:styleId="TOC3">
    <w:name w:val="toc 3"/>
    <w:basedOn w:val="Normal"/>
    <w:next w:val="Normal"/>
    <w:autoRedefine/>
    <w:semiHidden/>
    <w:rsid w:val="0055121D"/>
    <w:pPr>
      <w:tabs>
        <w:tab w:val="left" w:pos="1134"/>
        <w:tab w:val="right" w:pos="9060"/>
      </w:tabs>
      <w:spacing w:before="60" w:after="60" w:line="240" w:lineRule="auto"/>
      <w:ind w:left="567" w:right="567"/>
      <w:jc w:val="left"/>
    </w:pPr>
  </w:style>
  <w:style w:type="paragraph" w:customStyle="1" w:styleId="Greenheading-tables">
    <w:name w:val="Green heading - tables"/>
    <w:basedOn w:val="Greentext-tables"/>
    <w:rsid w:val="007932EA"/>
    <w:pPr>
      <w:keepNext/>
      <w:spacing w:before="240" w:after="0"/>
    </w:pPr>
    <w:rPr>
      <w:rFonts w:eastAsia="Times New Roman"/>
      <w:b/>
    </w:rPr>
  </w:style>
  <w:style w:type="paragraph" w:customStyle="1" w:styleId="Bodytextnumbered">
    <w:name w:val="Body text numbered"/>
    <w:basedOn w:val="BodyText"/>
    <w:rsid w:val="00C22954"/>
    <w:pPr>
      <w:numPr>
        <w:numId w:val="8"/>
      </w:numPr>
      <w:spacing w:before="0"/>
      <w:ind w:left="397" w:hanging="397"/>
    </w:pPr>
  </w:style>
  <w:style w:type="paragraph" w:customStyle="1" w:styleId="References">
    <w:name w:val="References"/>
    <w:basedOn w:val="Normal"/>
    <w:rsid w:val="00CE2551"/>
    <w:pPr>
      <w:jc w:val="left"/>
    </w:pPr>
    <w:rPr>
      <w:rFonts w:eastAsia="Times New Roman" w:cs="Times New Roman"/>
      <w:szCs w:val="20"/>
      <w:lang w:eastAsia="en-US"/>
    </w:rPr>
  </w:style>
  <w:style w:type="paragraph" w:customStyle="1" w:styleId="Bodytexta">
    <w:name w:val="Body text a"/>
    <w:aliases w:val="b,Sub-list a"/>
    <w:basedOn w:val="BodyText"/>
    <w:rsid w:val="00DB6C49"/>
    <w:pPr>
      <w:numPr>
        <w:numId w:val="9"/>
      </w:numPr>
      <w:spacing w:before="0"/>
    </w:pPr>
  </w:style>
  <w:style w:type="paragraph" w:customStyle="1" w:styleId="HeadingnotforTOC">
    <w:name w:val="Heading not for TOC"/>
    <w:basedOn w:val="BodyText"/>
    <w:semiHidden/>
    <w:qFormat/>
    <w:rsid w:val="00AD49E4"/>
    <w:pPr>
      <w:keepNext/>
      <w:spacing w:before="0" w:after="360" w:line="240" w:lineRule="auto"/>
    </w:pPr>
    <w:rPr>
      <w:b/>
      <w:color w:val="F4D19C"/>
      <w:sz w:val="64"/>
      <w:szCs w:val="64"/>
    </w:rPr>
  </w:style>
  <w:style w:type="paragraph" w:customStyle="1" w:styleId="Questiontext">
    <w:name w:val="Question text"/>
    <w:basedOn w:val="Greentext-tables"/>
    <w:semiHidden/>
    <w:qFormat/>
    <w:rsid w:val="005D43FA"/>
    <w:rPr>
      <w:color w:val="E36F1E"/>
    </w:rPr>
  </w:style>
  <w:style w:type="paragraph" w:customStyle="1" w:styleId="Questionbullet">
    <w:name w:val="Question bullet"/>
    <w:basedOn w:val="Greenbullet-tables"/>
    <w:semiHidden/>
    <w:qFormat/>
    <w:rsid w:val="00BE1EFD"/>
    <w:pPr>
      <w:numPr>
        <w:numId w:val="10"/>
      </w:numPr>
      <w:ind w:left="681" w:hanging="397"/>
    </w:pPr>
    <w:rPr>
      <w:color w:val="E36F1E"/>
    </w:rPr>
  </w:style>
  <w:style w:type="paragraph" w:customStyle="1" w:styleId="Questionheading">
    <w:name w:val="Question heading"/>
    <w:basedOn w:val="Greenheading-tables"/>
    <w:semiHidden/>
    <w:qFormat/>
    <w:rsid w:val="005D43FA"/>
    <w:rPr>
      <w:color w:val="E36F1E"/>
    </w:rPr>
  </w:style>
  <w:style w:type="paragraph" w:customStyle="1" w:styleId="Imprint">
    <w:name w:val="Imprint"/>
    <w:basedOn w:val="Normal"/>
    <w:rsid w:val="004E27B6"/>
    <w:pPr>
      <w:spacing w:before="0" w:after="240" w:line="240" w:lineRule="auto"/>
      <w:jc w:val="left"/>
    </w:pPr>
    <w:rPr>
      <w:rFonts w:eastAsia="Times New Roman" w:cs="Times New Roman"/>
      <w:szCs w:val="20"/>
      <w:lang w:eastAsia="en-US"/>
    </w:rPr>
  </w:style>
  <w:style w:type="paragraph" w:customStyle="1" w:styleId="Heading">
    <w:name w:val="Heading"/>
    <w:basedOn w:val="Heading1"/>
    <w:next w:val="Normal"/>
    <w:semiHidden/>
    <w:rsid w:val="004E44DD"/>
    <w:pPr>
      <w:keepNext w:val="0"/>
      <w:keepLines w:val="0"/>
      <w:tabs>
        <w:tab w:val="clear" w:pos="851"/>
        <w:tab w:val="left" w:pos="567"/>
      </w:tabs>
      <w:spacing w:after="120"/>
      <w:outlineLvl w:val="9"/>
    </w:pPr>
    <w:rPr>
      <w:rFonts w:eastAsia="Times New Roman" w:cs="Times New Roman"/>
      <w:bCs w:val="0"/>
      <w:sz w:val="44"/>
      <w:szCs w:val="20"/>
      <w:lang w:eastAsia="en-US"/>
    </w:rPr>
  </w:style>
  <w:style w:type="paragraph" w:customStyle="1" w:styleId="Sub-list">
    <w:name w:val="Sub-list"/>
    <w:basedOn w:val="Normal"/>
    <w:semiHidden/>
    <w:rsid w:val="0040640A"/>
    <w:pPr>
      <w:numPr>
        <w:numId w:val="12"/>
      </w:numPr>
      <w:tabs>
        <w:tab w:val="left" w:pos="794"/>
      </w:tabs>
      <w:spacing w:before="60" w:after="240" w:line="240" w:lineRule="auto"/>
    </w:pPr>
    <w:rPr>
      <w:rFonts w:ascii="Times New Roman" w:eastAsia="Times New Roman" w:hAnsi="Times New Roman" w:cs="Times New Roman"/>
      <w:szCs w:val="20"/>
      <w:lang w:eastAsia="en-US"/>
    </w:rPr>
  </w:style>
  <w:style w:type="paragraph" w:customStyle="1" w:styleId="Figureheading">
    <w:name w:val="Figure heading"/>
    <w:basedOn w:val="Normal"/>
    <w:next w:val="Normal"/>
    <w:rsid w:val="004E27B6"/>
    <w:pPr>
      <w:keepNext/>
      <w:spacing w:line="240" w:lineRule="auto"/>
      <w:ind w:left="1134" w:hanging="1134"/>
      <w:jc w:val="left"/>
    </w:pPr>
    <w:rPr>
      <w:rFonts w:eastAsia="Times New Roman" w:cs="Times New Roman"/>
      <w:b/>
      <w:sz w:val="20"/>
      <w:szCs w:val="20"/>
      <w:lang w:eastAsia="en-US"/>
    </w:rPr>
  </w:style>
  <w:style w:type="paragraph" w:customStyle="1" w:styleId="Note">
    <w:name w:val="Note"/>
    <w:basedOn w:val="Normal"/>
    <w:next w:val="Normal"/>
    <w:semiHidden/>
    <w:rsid w:val="0040640A"/>
    <w:pPr>
      <w:tabs>
        <w:tab w:val="left" w:pos="680"/>
      </w:tabs>
      <w:spacing w:after="240" w:line="240" w:lineRule="auto"/>
      <w:ind w:left="680" w:hanging="680"/>
    </w:pPr>
    <w:rPr>
      <w:rFonts w:ascii="Arial" w:eastAsia="Times New Roman" w:hAnsi="Arial" w:cs="Times New Roman"/>
      <w:sz w:val="16"/>
      <w:szCs w:val="20"/>
      <w:lang w:eastAsia="en-US"/>
    </w:rPr>
  </w:style>
  <w:style w:type="paragraph" w:customStyle="1" w:styleId="Source">
    <w:name w:val="Source"/>
    <w:basedOn w:val="Normal"/>
    <w:next w:val="Normal"/>
    <w:semiHidden/>
    <w:rsid w:val="0040640A"/>
    <w:pPr>
      <w:tabs>
        <w:tab w:val="left" w:pos="680"/>
      </w:tabs>
      <w:spacing w:after="240" w:line="240" w:lineRule="auto"/>
      <w:jc w:val="left"/>
    </w:pPr>
    <w:rPr>
      <w:rFonts w:ascii="Arial" w:eastAsia="Times New Roman" w:hAnsi="Arial" w:cs="Times New Roman"/>
      <w:sz w:val="16"/>
      <w:szCs w:val="20"/>
      <w:lang w:eastAsia="en-US"/>
    </w:rPr>
  </w:style>
  <w:style w:type="paragraph" w:customStyle="1" w:styleId="Tableheading">
    <w:name w:val="Table heading"/>
    <w:basedOn w:val="Normal"/>
    <w:next w:val="Normal"/>
    <w:rsid w:val="004E27B6"/>
    <w:pPr>
      <w:keepNext/>
      <w:spacing w:line="240" w:lineRule="auto"/>
      <w:ind w:left="1134" w:hanging="1134"/>
      <w:jc w:val="left"/>
    </w:pPr>
    <w:rPr>
      <w:rFonts w:eastAsia="Times New Roman" w:cs="Times New Roman"/>
      <w:b/>
      <w:sz w:val="20"/>
      <w:szCs w:val="20"/>
      <w:lang w:eastAsia="en-US"/>
    </w:rPr>
  </w:style>
  <w:style w:type="paragraph" w:customStyle="1" w:styleId="TableText0">
    <w:name w:val="TableText"/>
    <w:basedOn w:val="Normal"/>
    <w:semiHidden/>
    <w:rsid w:val="0040640A"/>
    <w:pPr>
      <w:spacing w:before="60" w:after="60" w:line="240" w:lineRule="auto"/>
      <w:jc w:val="left"/>
    </w:pPr>
    <w:rPr>
      <w:rFonts w:ascii="Arial" w:eastAsia="Times New Roman" w:hAnsi="Arial" w:cs="Times New Roman"/>
      <w:sz w:val="16"/>
      <w:szCs w:val="20"/>
      <w:lang w:eastAsia="en-US"/>
    </w:rPr>
  </w:style>
  <w:style w:type="paragraph" w:customStyle="1" w:styleId="TableTextbold">
    <w:name w:val="TableText bold"/>
    <w:basedOn w:val="TableText0"/>
    <w:rsid w:val="00BB2F3D"/>
    <w:rPr>
      <w:rFonts w:ascii="Calibri" w:hAnsi="Calibri"/>
      <w:b/>
      <w:sz w:val="18"/>
    </w:rPr>
  </w:style>
  <w:style w:type="paragraph" w:customStyle="1" w:styleId="Glossary">
    <w:name w:val="Glossary"/>
    <w:basedOn w:val="Normal"/>
    <w:semiHidden/>
    <w:rsid w:val="0040640A"/>
    <w:pPr>
      <w:tabs>
        <w:tab w:val="left" w:pos="2835"/>
      </w:tabs>
      <w:spacing w:before="0" w:after="240" w:line="240" w:lineRule="auto"/>
      <w:ind w:left="2835" w:hanging="2835"/>
    </w:pPr>
    <w:rPr>
      <w:rFonts w:ascii="Times New Roman" w:eastAsia="Times New Roman" w:hAnsi="Times New Roman" w:cs="Times New Roman"/>
      <w:szCs w:val="20"/>
      <w:lang w:eastAsia="en-US"/>
    </w:rPr>
  </w:style>
  <w:style w:type="paragraph" w:customStyle="1" w:styleId="Numberedparagraph">
    <w:name w:val="Numbered paragraph"/>
    <w:basedOn w:val="Normal"/>
    <w:semiHidden/>
    <w:rsid w:val="0040640A"/>
    <w:pPr>
      <w:numPr>
        <w:numId w:val="11"/>
      </w:numPr>
      <w:spacing w:line="240" w:lineRule="auto"/>
    </w:pPr>
    <w:rPr>
      <w:rFonts w:ascii="Times New Roman" w:eastAsia="Times New Roman" w:hAnsi="Times New Roman" w:cs="Times New Roman"/>
      <w:szCs w:val="20"/>
      <w:lang w:eastAsia="en-US"/>
    </w:rPr>
  </w:style>
  <w:style w:type="paragraph" w:styleId="TableofFigures">
    <w:name w:val="table of figures"/>
    <w:basedOn w:val="Normal"/>
    <w:next w:val="Normal"/>
    <w:uiPriority w:val="99"/>
    <w:rsid w:val="0040640A"/>
    <w:pPr>
      <w:spacing w:before="80" w:after="240" w:line="240" w:lineRule="auto"/>
      <w:ind w:left="1134" w:hanging="1134"/>
    </w:pPr>
    <w:rPr>
      <w:rFonts w:ascii="Arial" w:eastAsia="Times New Roman" w:hAnsi="Arial" w:cs="Times New Roman"/>
      <w:sz w:val="20"/>
      <w:szCs w:val="20"/>
      <w:lang w:eastAsia="en-US"/>
    </w:rPr>
  </w:style>
  <w:style w:type="paragraph" w:customStyle="1" w:styleId="Sub-listi">
    <w:name w:val="Sub-list i"/>
    <w:aliases w:val="ii"/>
    <w:basedOn w:val="BodyText"/>
    <w:semiHidden/>
    <w:rsid w:val="0040640A"/>
    <w:pPr>
      <w:numPr>
        <w:numId w:val="13"/>
      </w:numPr>
      <w:spacing w:before="60" w:after="60" w:line="240" w:lineRule="auto"/>
      <w:jc w:val="both"/>
    </w:pPr>
    <w:rPr>
      <w:rFonts w:ascii="Times New Roman" w:eastAsia="Times New Roman" w:hAnsi="Times New Roman" w:cs="Times New Roman"/>
      <w:szCs w:val="20"/>
      <w:lang w:eastAsia="en-US"/>
    </w:rPr>
  </w:style>
  <w:style w:type="paragraph" w:styleId="PlainText">
    <w:name w:val="Plain Text"/>
    <w:basedOn w:val="Normal"/>
    <w:link w:val="PlainTextChar"/>
    <w:uiPriority w:val="99"/>
    <w:semiHidden/>
    <w:rsid w:val="0040640A"/>
    <w:pPr>
      <w:spacing w:before="0" w:after="240" w:line="240" w:lineRule="auto"/>
      <w:jc w:val="left"/>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A5323"/>
    <w:rPr>
      <w:rFonts w:ascii="Consolas" w:eastAsia="Calibri" w:hAnsi="Consolas" w:cs="Times New Roman"/>
      <w:sz w:val="21"/>
      <w:szCs w:val="21"/>
      <w:lang w:eastAsia="en-NZ"/>
    </w:rPr>
  </w:style>
  <w:style w:type="paragraph" w:customStyle="1" w:styleId="Questionforconsultationfeedback">
    <w:name w:val="Question for consultation feedback"/>
    <w:basedOn w:val="BodyText"/>
    <w:semiHidden/>
    <w:qFormat/>
    <w:rsid w:val="0040640A"/>
    <w:pPr>
      <w:spacing w:before="0" w:after="240" w:line="240" w:lineRule="auto"/>
      <w:jc w:val="both"/>
    </w:pPr>
    <w:rPr>
      <w:rFonts w:ascii="Times New Roman" w:eastAsia="Times New Roman" w:hAnsi="Times New Roman" w:cs="Times New Roman"/>
      <w:i/>
      <w:szCs w:val="20"/>
      <w:lang w:eastAsia="en-US"/>
    </w:rPr>
  </w:style>
  <w:style w:type="character" w:styleId="CommentReference">
    <w:name w:val="annotation reference"/>
    <w:basedOn w:val="DefaultParagraphFont"/>
    <w:uiPriority w:val="99"/>
    <w:semiHidden/>
    <w:unhideWhenUsed/>
    <w:rsid w:val="0040640A"/>
    <w:rPr>
      <w:sz w:val="16"/>
      <w:szCs w:val="16"/>
    </w:rPr>
  </w:style>
  <w:style w:type="paragraph" w:styleId="CommentText">
    <w:name w:val="annotation text"/>
    <w:basedOn w:val="Normal"/>
    <w:link w:val="CommentTextChar"/>
    <w:uiPriority w:val="99"/>
    <w:semiHidden/>
    <w:unhideWhenUsed/>
    <w:rsid w:val="0040640A"/>
    <w:pPr>
      <w:spacing w:before="0" w:after="200" w:line="240" w:lineRule="auto"/>
      <w:jc w:val="left"/>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semiHidden/>
    <w:rsid w:val="0040640A"/>
    <w:rPr>
      <w:sz w:val="20"/>
      <w:szCs w:val="20"/>
    </w:rPr>
  </w:style>
  <w:style w:type="paragraph" w:styleId="CommentSubject">
    <w:name w:val="annotation subject"/>
    <w:basedOn w:val="CommentText"/>
    <w:next w:val="CommentText"/>
    <w:link w:val="CommentSubjectChar"/>
    <w:uiPriority w:val="99"/>
    <w:semiHidden/>
    <w:unhideWhenUsed/>
    <w:rsid w:val="0040640A"/>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0640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rsid w:val="00D33F0D"/>
    <w:rPr>
      <w:color w:val="800080" w:themeColor="followedHyperlink"/>
      <w:u w:val="none"/>
    </w:rPr>
  </w:style>
  <w:style w:type="paragraph" w:styleId="TOCHeading">
    <w:name w:val="TOC Heading"/>
    <w:basedOn w:val="Heading1"/>
    <w:next w:val="Normal"/>
    <w:uiPriority w:val="39"/>
    <w:unhideWhenUsed/>
    <w:qFormat/>
    <w:rsid w:val="009E0C89"/>
    <w:pPr>
      <w:tabs>
        <w:tab w:val="clear" w:pos="851"/>
      </w:tabs>
      <w:spacing w:before="480" w:after="0" w:line="280" w:lineRule="atLeast"/>
      <w:jc w:val="both"/>
      <w:outlineLvl w:val="9"/>
    </w:pPr>
    <w:rPr>
      <w:rFonts w:asciiTheme="majorHAnsi" w:hAnsiTheme="majorHAnsi"/>
      <w:color w:val="365F91" w:themeColor="accent1" w:themeShade="BF"/>
      <w:sz w:val="28"/>
    </w:rPr>
  </w:style>
  <w:style w:type="character" w:customStyle="1" w:styleId="Heading6Char">
    <w:name w:val="Heading 6 Char"/>
    <w:basedOn w:val="DefaultParagraphFont"/>
    <w:link w:val="Heading6"/>
    <w:uiPriority w:val="9"/>
    <w:semiHidden/>
    <w:rsid w:val="009E0C89"/>
    <w:rPr>
      <w:rFonts w:asciiTheme="majorHAnsi" w:eastAsiaTheme="majorEastAsia" w:hAnsiTheme="majorHAnsi" w:cstheme="majorBidi"/>
      <w:i/>
      <w:iCs/>
      <w:color w:val="243F60" w:themeColor="accent1" w:themeShade="7F"/>
      <w:sz w:val="20"/>
      <w:szCs w:val="24"/>
      <w:lang w:eastAsia="zh-CN"/>
    </w:rPr>
  </w:style>
  <w:style w:type="character" w:customStyle="1" w:styleId="Heading7Char">
    <w:name w:val="Heading 7 Char"/>
    <w:basedOn w:val="DefaultParagraphFont"/>
    <w:link w:val="Heading7"/>
    <w:uiPriority w:val="9"/>
    <w:semiHidden/>
    <w:rsid w:val="009E0C89"/>
    <w:rPr>
      <w:rFonts w:asciiTheme="majorHAnsi" w:eastAsiaTheme="majorEastAsia" w:hAnsiTheme="majorHAnsi" w:cstheme="majorBidi"/>
      <w:i/>
      <w:iCs/>
      <w:color w:val="404040" w:themeColor="text1" w:themeTint="BF"/>
      <w:sz w:val="20"/>
      <w:szCs w:val="24"/>
      <w:lang w:eastAsia="zh-CN"/>
    </w:rPr>
  </w:style>
  <w:style w:type="character" w:customStyle="1" w:styleId="Heading8Char">
    <w:name w:val="Heading 8 Char"/>
    <w:basedOn w:val="DefaultParagraphFont"/>
    <w:link w:val="Heading8"/>
    <w:uiPriority w:val="9"/>
    <w:semiHidden/>
    <w:rsid w:val="009E0C89"/>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
    <w:semiHidden/>
    <w:rsid w:val="009E0C89"/>
    <w:rPr>
      <w:rFonts w:asciiTheme="majorHAnsi" w:eastAsiaTheme="majorEastAsia" w:hAnsiTheme="majorHAnsi" w:cstheme="majorBidi"/>
      <w:i/>
      <w:iCs/>
      <w:color w:val="404040" w:themeColor="text1" w:themeTint="BF"/>
      <w:sz w:val="20"/>
      <w:szCs w:val="20"/>
      <w:lang w:eastAsia="zh-CN"/>
    </w:rPr>
  </w:style>
  <w:style w:type="character" w:customStyle="1" w:styleId="Mon1Char">
    <w:name w:val="Mon1 Char"/>
    <w:basedOn w:val="DefaultParagraphFont"/>
    <w:link w:val="Mon1"/>
    <w:locked/>
    <w:rsid w:val="009E0C89"/>
    <w:rPr>
      <w:rFonts w:ascii="Montserrat Light" w:eastAsia="SimSun" w:hAnsi="Montserrat Light" w:cs="TradeGothic"/>
      <w:color w:val="4D4D4D"/>
      <w:sz w:val="18"/>
      <w:szCs w:val="21"/>
      <w:lang w:eastAsia="zh-CN"/>
    </w:rPr>
  </w:style>
  <w:style w:type="paragraph" w:customStyle="1" w:styleId="Mon1">
    <w:name w:val="Mon1"/>
    <w:basedOn w:val="Normal"/>
    <w:link w:val="Mon1Char"/>
    <w:qFormat/>
    <w:rsid w:val="009E0C89"/>
    <w:pPr>
      <w:spacing w:before="240" w:line="320" w:lineRule="atLeast"/>
      <w:jc w:val="left"/>
    </w:pPr>
    <w:rPr>
      <w:rFonts w:ascii="Montserrat Light" w:eastAsia="SimSun" w:hAnsi="Montserrat Light" w:cs="TradeGothic"/>
      <w:color w:val="4D4D4D"/>
      <w:sz w:val="18"/>
      <w:szCs w:val="21"/>
      <w:lang w:eastAsia="zh-CN"/>
    </w:rPr>
  </w:style>
  <w:style w:type="character" w:customStyle="1" w:styleId="INTROtextChar">
    <w:name w:val="INTRO text Char"/>
    <w:basedOn w:val="DefaultParagraphFont"/>
    <w:link w:val="INTROtext"/>
    <w:locked/>
    <w:rsid w:val="009E0C89"/>
    <w:rPr>
      <w:rFonts w:ascii="Verdana" w:eastAsia="SimSun" w:hAnsi="Verdana" w:cs="TradeGothic"/>
      <w:color w:val="4D4D4D"/>
      <w:sz w:val="21"/>
      <w:szCs w:val="21"/>
      <w:lang w:eastAsia="zh-CN"/>
    </w:rPr>
  </w:style>
  <w:style w:type="paragraph" w:customStyle="1" w:styleId="INTROtext">
    <w:name w:val="INTRO text"/>
    <w:basedOn w:val="Normal"/>
    <w:link w:val="INTROtextChar"/>
    <w:rsid w:val="009E0C89"/>
    <w:pPr>
      <w:spacing w:before="0" w:after="180" w:line="320" w:lineRule="atLeast"/>
      <w:jc w:val="left"/>
    </w:pPr>
    <w:rPr>
      <w:rFonts w:ascii="Verdana" w:eastAsia="SimSun" w:hAnsi="Verdana" w:cs="TradeGothic"/>
      <w:color w:val="4D4D4D"/>
      <w:sz w:val="21"/>
      <w:szCs w:val="21"/>
      <w:lang w:eastAsia="zh-CN"/>
    </w:rPr>
  </w:style>
  <w:style w:type="paragraph" w:styleId="ListBullet">
    <w:name w:val="List Bullet"/>
    <w:basedOn w:val="Normal"/>
    <w:unhideWhenUsed/>
    <w:rsid w:val="009E0C89"/>
    <w:pPr>
      <w:numPr>
        <w:numId w:val="14"/>
      </w:numPr>
      <w:spacing w:before="0" w:line="240" w:lineRule="auto"/>
      <w:contextualSpacing/>
    </w:pPr>
    <w:rPr>
      <w:rFonts w:ascii="Eurostile" w:eastAsia="SimSun" w:hAnsi="Eurostile" w:cs="Times New Roman"/>
      <w:sz w:val="20"/>
      <w:szCs w:val="24"/>
      <w:lang w:eastAsia="zh-CN"/>
    </w:rPr>
  </w:style>
  <w:style w:type="paragraph" w:styleId="Caption">
    <w:name w:val="caption"/>
    <w:basedOn w:val="ListBullet"/>
    <w:next w:val="Header"/>
    <w:unhideWhenUsed/>
    <w:qFormat/>
    <w:rsid w:val="009E0C89"/>
    <w:pPr>
      <w:numPr>
        <w:numId w:val="0"/>
      </w:numPr>
      <w:spacing w:after="60" w:line="320" w:lineRule="atLeast"/>
      <w:ind w:left="992" w:hanging="992"/>
      <w:contextualSpacing w:val="0"/>
      <w:jc w:val="left"/>
    </w:pPr>
    <w:rPr>
      <w:rFonts w:ascii="Arial" w:hAnsi="Arial" w:cs="Arial"/>
      <w:szCs w:val="16"/>
    </w:rPr>
  </w:style>
  <w:style w:type="paragraph" w:styleId="NormalWeb">
    <w:name w:val="Normal (Web)"/>
    <w:basedOn w:val="Normal"/>
    <w:uiPriority w:val="99"/>
    <w:unhideWhenUsed/>
    <w:rsid w:val="009E0C89"/>
    <w:pPr>
      <w:spacing w:before="0" w:after="168" w:line="336" w:lineRule="atLeast"/>
      <w:jc w:val="left"/>
    </w:pPr>
    <w:rPr>
      <w:rFonts w:ascii="Times New Roman" w:eastAsia="Times New Roman" w:hAnsi="Times New Roman" w:cs="Times New Roman"/>
      <w:sz w:val="31"/>
      <w:szCs w:val="31"/>
    </w:rPr>
  </w:style>
  <w:style w:type="paragraph" w:customStyle="1" w:styleId="APPENDIX">
    <w:name w:val="APPENDIX"/>
    <w:basedOn w:val="Heading1"/>
    <w:next w:val="BodyText"/>
    <w:rsid w:val="009E0C89"/>
    <w:pPr>
      <w:keepLines w:val="0"/>
      <w:pageBreakBefore/>
      <w:numPr>
        <w:numId w:val="16"/>
      </w:numPr>
      <w:tabs>
        <w:tab w:val="clear" w:pos="851"/>
        <w:tab w:val="clear" w:pos="1985"/>
      </w:tabs>
      <w:spacing w:after="240" w:line="300" w:lineRule="atLeast"/>
      <w:ind w:left="0" w:firstLine="0"/>
      <w:jc w:val="both"/>
    </w:pPr>
    <w:rPr>
      <w:rFonts w:ascii="Eurostile ExtendedTwo" w:eastAsia="SimSun" w:hAnsi="Eurostile ExtendedTwo" w:cs="Eurostile-ExtendedTwo"/>
      <w:b w:val="0"/>
      <w:bCs w:val="0"/>
      <w:caps/>
      <w:color w:val="0095DA"/>
      <w:sz w:val="24"/>
      <w:szCs w:val="24"/>
      <w:lang w:eastAsia="zh-CN"/>
    </w:rPr>
  </w:style>
  <w:style w:type="paragraph" w:styleId="NoSpacing">
    <w:name w:val="No Spacing"/>
    <w:link w:val="NoSpacingChar"/>
    <w:uiPriority w:val="1"/>
    <w:qFormat/>
    <w:rsid w:val="009E0C89"/>
    <w:pPr>
      <w:spacing w:after="0" w:line="240" w:lineRule="auto"/>
    </w:pPr>
    <w:rPr>
      <w:lang w:eastAsia="ja-JP"/>
    </w:rPr>
  </w:style>
  <w:style w:type="character" w:customStyle="1" w:styleId="NoSpacingChar">
    <w:name w:val="No Spacing Char"/>
    <w:basedOn w:val="DefaultParagraphFont"/>
    <w:link w:val="NoSpacing"/>
    <w:uiPriority w:val="1"/>
    <w:rsid w:val="009E0C89"/>
    <w:rPr>
      <w:lang w:eastAsia="ja-JP"/>
    </w:rPr>
  </w:style>
  <w:style w:type="paragraph" w:customStyle="1" w:styleId="Client">
    <w:name w:val="Client"/>
    <w:basedOn w:val="Normal"/>
    <w:rsid w:val="009E0C89"/>
    <w:pPr>
      <w:spacing w:line="240" w:lineRule="auto"/>
      <w:jc w:val="right"/>
    </w:pPr>
    <w:rPr>
      <w:rFonts w:ascii="Eurostile ExtendedTwo" w:eastAsia="SimSun" w:hAnsi="Eurostile ExtendedTwo" w:cs="Eurostile-ExtendedTwo"/>
      <w:caps/>
      <w:color w:val="FFFFFF"/>
      <w:sz w:val="18"/>
      <w:szCs w:val="18"/>
      <w:lang w:eastAsia="zh-CN"/>
    </w:rPr>
  </w:style>
  <w:style w:type="paragraph" w:customStyle="1" w:styleId="BodyTextLarge">
    <w:name w:val="Body Text (Large)"/>
    <w:basedOn w:val="BodyText"/>
    <w:rsid w:val="009E0C89"/>
    <w:pPr>
      <w:spacing w:before="0" w:after="60" w:line="320" w:lineRule="atLeast"/>
    </w:pPr>
    <w:rPr>
      <w:rFonts w:ascii="Verdana" w:eastAsia="SimSun" w:hAnsi="Verdana" w:cs="TradeGothic"/>
      <w:color w:val="6D6F71"/>
      <w:sz w:val="21"/>
      <w:szCs w:val="21"/>
      <w:lang w:eastAsia="zh-CN"/>
    </w:rPr>
  </w:style>
  <w:style w:type="paragraph" w:customStyle="1" w:styleId="WhiteBoldReversed">
    <w:name w:val="White Bold Reversed"/>
    <w:basedOn w:val="BodyText"/>
    <w:next w:val="BodyText"/>
    <w:rsid w:val="009E0C89"/>
    <w:pPr>
      <w:pBdr>
        <w:top w:val="single" w:sz="4" w:space="8" w:color="00AEEF"/>
        <w:bottom w:val="single" w:sz="4" w:space="8" w:color="00AEEF"/>
      </w:pBdr>
      <w:shd w:val="clear" w:color="auto" w:fill="00AEEF"/>
      <w:spacing w:line="240" w:lineRule="auto"/>
    </w:pPr>
    <w:rPr>
      <w:rFonts w:ascii="Verdana" w:eastAsia="SimSun" w:hAnsi="Verdana" w:cs="TradeGothic"/>
      <w:b/>
      <w:bCs/>
      <w:color w:val="FFFFFF"/>
      <w:sz w:val="21"/>
      <w:szCs w:val="18"/>
      <w:lang w:eastAsia="zh-CN"/>
    </w:rPr>
  </w:style>
  <w:style w:type="paragraph" w:customStyle="1" w:styleId="NoNumCrt">
    <w:name w:val="NoNumCrt"/>
    <w:basedOn w:val="Normal"/>
    <w:rsid w:val="009E0C89"/>
    <w:pPr>
      <w:tabs>
        <w:tab w:val="left" w:pos="851"/>
        <w:tab w:val="left" w:pos="1701"/>
        <w:tab w:val="left" w:pos="2552"/>
        <w:tab w:val="left" w:pos="3402"/>
      </w:tabs>
      <w:spacing w:before="0" w:after="0" w:line="360" w:lineRule="auto"/>
    </w:pPr>
    <w:rPr>
      <w:rFonts w:ascii="Arial" w:eastAsia="Times New Roman" w:hAnsi="Arial" w:cs="Arial"/>
      <w:sz w:val="21"/>
      <w:szCs w:val="20"/>
    </w:rPr>
  </w:style>
  <w:style w:type="character" w:customStyle="1" w:styleId="apple-converted-space">
    <w:name w:val="apple-converted-space"/>
    <w:basedOn w:val="DefaultParagraphFont"/>
    <w:rsid w:val="009E0C89"/>
  </w:style>
  <w:style w:type="character" w:customStyle="1" w:styleId="radewrongword">
    <w:name w:val="radewrongword"/>
    <w:basedOn w:val="DefaultParagraphFont"/>
    <w:rsid w:val="009E0C89"/>
  </w:style>
  <w:style w:type="paragraph" w:customStyle="1" w:styleId="Numbering-Firstlevel">
    <w:name w:val="Numbering - First level"/>
    <w:basedOn w:val="Normal"/>
    <w:qFormat/>
    <w:rsid w:val="009E0C89"/>
    <w:pPr>
      <w:keepLines/>
      <w:tabs>
        <w:tab w:val="left" w:pos="567"/>
      </w:tabs>
      <w:spacing w:before="0" w:after="220" w:line="240" w:lineRule="auto"/>
      <w:ind w:left="360" w:hanging="360"/>
      <w:jc w:val="left"/>
    </w:pPr>
    <w:rPr>
      <w:rFonts w:ascii="Arial" w:eastAsia="Times New Roman" w:hAnsi="Arial" w:cs="Arial"/>
      <w:sz w:val="24"/>
      <w:lang w:val="en-GB" w:eastAsia="en-GB"/>
    </w:rPr>
  </w:style>
  <w:style w:type="paragraph" w:customStyle="1" w:styleId="Numbering-Secondlevel">
    <w:name w:val="Numbering - Second level"/>
    <w:basedOn w:val="Normal"/>
    <w:uiPriority w:val="99"/>
    <w:qFormat/>
    <w:rsid w:val="009E0C89"/>
    <w:pPr>
      <w:keepLines/>
      <w:tabs>
        <w:tab w:val="num" w:pos="1080"/>
      </w:tabs>
      <w:spacing w:before="0" w:line="240" w:lineRule="auto"/>
      <w:ind w:left="1080" w:hanging="360"/>
      <w:jc w:val="left"/>
    </w:pPr>
    <w:rPr>
      <w:rFonts w:ascii="Arial" w:eastAsia="Times New Roman" w:hAnsi="Arial" w:cs="Arial"/>
      <w:sz w:val="24"/>
      <w:lang w:val="en-GB" w:eastAsia="en-GB"/>
    </w:rPr>
  </w:style>
  <w:style w:type="paragraph" w:customStyle="1" w:styleId="Numbering-Thirdlevel">
    <w:name w:val="Numbering - Third level"/>
    <w:basedOn w:val="Normal"/>
    <w:uiPriority w:val="99"/>
    <w:qFormat/>
    <w:rsid w:val="009E0C89"/>
    <w:pPr>
      <w:keepLines/>
      <w:numPr>
        <w:ilvl w:val="2"/>
        <w:numId w:val="26"/>
      </w:numPr>
      <w:spacing w:before="0" w:line="240" w:lineRule="auto"/>
      <w:jc w:val="left"/>
    </w:pPr>
    <w:rPr>
      <w:rFonts w:ascii="Arial" w:eastAsia="Times New Roman" w:hAnsi="Arial" w:cs="Arial"/>
      <w:sz w:val="24"/>
      <w:lang w:val="en-GB" w:eastAsia="en-GB"/>
    </w:rPr>
  </w:style>
  <w:style w:type="table" w:customStyle="1" w:styleId="BERLTable2">
    <w:name w:val="BERL Table 2"/>
    <w:basedOn w:val="TableNormal"/>
    <w:uiPriority w:val="99"/>
    <w:qFormat/>
    <w:rsid w:val="009E0C89"/>
    <w:pPr>
      <w:spacing w:before="40" w:after="40" w:line="240" w:lineRule="auto"/>
      <w:jc w:val="center"/>
    </w:pPr>
    <w:rPr>
      <w:rFonts w:eastAsia="Calibri" w:cs="Times New Roman"/>
      <w:sz w:val="19"/>
      <w:szCs w:val="21"/>
      <w:lang w:val="en-US"/>
    </w:rPr>
    <w:tblPr>
      <w:tblInd w:w="85" w:type="dxa"/>
      <w:tblBorders>
        <w:bottom w:val="single" w:sz="2" w:space="0" w:color="C0504D" w:themeColor="accent2"/>
        <w:insideV w:val="single" w:sz="2" w:space="0" w:color="C0504D" w:themeColor="accent2"/>
      </w:tblBorders>
      <w:tblCellMar>
        <w:top w:w="28" w:type="dxa"/>
        <w:left w:w="85" w:type="dxa"/>
        <w:bottom w:w="28" w:type="dxa"/>
        <w:right w:w="85" w:type="dxa"/>
      </w:tblCellMar>
    </w:tblPr>
    <w:tcPr>
      <w:shd w:val="clear" w:color="auto" w:fill="auto"/>
    </w:tcPr>
    <w:tblStylePr w:type="firstRow">
      <w:rPr>
        <w:rFonts w:asciiTheme="minorHAnsi" w:hAnsiTheme="minorHAnsi"/>
        <w:b/>
        <w:color w:val="FFFFFF" w:themeColor="background1"/>
      </w:rPr>
      <w:tblPr/>
      <w:tcPr>
        <w:tcBorders>
          <w:top w:val="single" w:sz="2" w:space="0" w:color="C0504D" w:themeColor="accent2"/>
          <w:left w:val="nil"/>
          <w:bottom w:val="nil"/>
          <w:right w:val="nil"/>
          <w:insideH w:val="single" w:sz="2" w:space="0" w:color="C0504D" w:themeColor="accent2"/>
          <w:insideV w:val="single" w:sz="2" w:space="0" w:color="C0504D" w:themeColor="accent2"/>
          <w:tl2br w:val="nil"/>
          <w:tr2bl w:val="nil"/>
        </w:tcBorders>
        <w:shd w:val="clear" w:color="auto" w:fill="C0504D" w:themeFill="accent2"/>
      </w:tcPr>
    </w:tblStylePr>
    <w:tblStylePr w:type="lastRow">
      <w:rPr>
        <w:b/>
      </w:rPr>
    </w:tblStylePr>
    <w:tblStylePr w:type="firstCol">
      <w:pPr>
        <w:wordWrap/>
        <w:jc w:val="both"/>
      </w:pPr>
    </w:tblStylePr>
    <w:tblStylePr w:type="lastCol">
      <w:tblPr/>
      <w:tcPr>
        <w:tcBorders>
          <w:top w:val="nil"/>
          <w:left w:val="single" w:sz="2" w:space="0" w:color="C0504D" w:themeColor="accent2"/>
          <w:bottom w:val="single" w:sz="2" w:space="0" w:color="C0504D" w:themeColor="accent2"/>
          <w:right w:val="nil"/>
          <w:insideH w:val="nil"/>
          <w:insideV w:val="nil"/>
          <w:tl2br w:val="nil"/>
          <w:tr2bl w:val="nil"/>
        </w:tcBorders>
        <w:shd w:val="clear" w:color="auto" w:fill="E6E6E6"/>
      </w:tcPr>
    </w:tblStylePr>
    <w:tblStylePr w:type="neCell">
      <w:rPr>
        <w:color w:val="auto"/>
      </w:rPr>
      <w:tblPr/>
      <w:tcPr>
        <w:tcBorders>
          <w:top w:val="single" w:sz="2" w:space="0" w:color="C0504D" w:themeColor="accent2"/>
          <w:left w:val="single" w:sz="2" w:space="0" w:color="C0504D" w:themeColor="accent2"/>
          <w:bottom w:val="nil"/>
          <w:right w:val="single" w:sz="2" w:space="0" w:color="C0504D" w:themeColor="accent2"/>
          <w:insideH w:val="nil"/>
          <w:insideV w:val="nil"/>
          <w:tl2br w:val="nil"/>
          <w:tr2bl w:val="nil"/>
        </w:tcBorders>
        <w:shd w:val="clear" w:color="auto" w:fill="E6E6E6"/>
      </w:tcPr>
    </w:tblStylePr>
    <w:tblStylePr w:type="nwCell">
      <w:tblPr/>
      <w:tcPr>
        <w:tcBorders>
          <w:top w:val="single" w:sz="2" w:space="0" w:color="C0504D" w:themeColor="accent2"/>
          <w:left w:val="single" w:sz="2" w:space="0" w:color="C0504D" w:themeColor="accent2"/>
          <w:bottom w:val="nil"/>
          <w:right w:val="single" w:sz="2" w:space="0" w:color="C0504D" w:themeColor="accent2"/>
          <w:insideH w:val="nil"/>
          <w:insideV w:val="nil"/>
          <w:tl2br w:val="nil"/>
          <w:tr2bl w:val="nil"/>
        </w:tcBorders>
        <w:shd w:val="clear" w:color="auto" w:fill="4F81BD" w:themeFill="accent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yperlink" Target="http://www.aucklandcouncil.govt.nz/EN/planspoliciesprojects/reports/technicalpublications/Pages/capacityforgrowthstudy.aspx" TargetMode="External"/><Relationship Id="rId39" Type="http://schemas.openxmlformats.org/officeDocument/2006/relationships/hyperlink" Target="http://www.newplymouthnz.com/NR/rdonlyres/06668575-85BD-4B5F-8D6C-BD52F5F398E3/0/FrameworkForGrowthFinal.pdf" TargetMode="External"/><Relationship Id="rId21" Type="http://schemas.openxmlformats.org/officeDocument/2006/relationships/image" Target="media/image3.png"/><Relationship Id="rId34" Type="http://schemas.openxmlformats.org/officeDocument/2006/relationships/hyperlink" Target="http://www.greaterchristchurch.org.nz/Strategy/index.aspx" TargetMode="External"/><Relationship Id="rId42" Type="http://schemas.openxmlformats.org/officeDocument/2006/relationships/hyperlink" Target="http://www.productivity.govt.nz/inquiry-content/2060?stage=4" TargetMode="External"/><Relationship Id="rId47" Type="http://schemas.openxmlformats.org/officeDocument/2006/relationships/hyperlink" Target="http://www.mfe.govt.nz/sites/default/files/media/Towns%20and%20cities/research-report-to-support-proposed-NPS_0.pdf" TargetMode="External"/><Relationship Id="rId50" Type="http://schemas.openxmlformats.org/officeDocument/2006/relationships/hyperlink" Target="http://www.smartgrowthbop.org.nz/media/63774/3-smartgrowth_strategy_2013_30aug_88-125.pdf" TargetMode="External"/><Relationship Id="rId55" Type="http://schemas.openxmlformats.org/officeDocument/2006/relationships/hyperlink" Target="http://wellington.govt.nz/~/media/your-council/plans-policies-and-bylaws/plans-and-policies/a-to-z/northerngrowth/files/northerngrowth.pdf" TargetMode="External"/><Relationship Id="rId63"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resources.ccc.govt.nz/files/TheCouncil/policiesreportsstrategies/districtplanning/districtplanreview/Appendix3-OverviewhouseholddemandtargetscapacityDOC.pdf" TargetMode="External"/><Relationship Id="rId41" Type="http://schemas.openxmlformats.org/officeDocument/2006/relationships/hyperlink" Target="http://www.smartgrowthbop.org.nz/media/1327/Retail-and-Commercial-Strategy-Peer-Review-2008.pdf" TargetMode="External"/><Relationship Id="rId54" Type="http://schemas.openxmlformats.org/officeDocument/2006/relationships/hyperlink" Target="http://www.waterfrontauckland.co.nz/getmedia/01c99700-5262-46ed-82ed-bf575eea55ef/20140731-Environmental-Scan-July-2014.pdf/?ext=.pdf"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yperlink" Target="http://www.developingchoices.org.nz/docs/corp-lurp-contextdoc-032013.pdf" TargetMode="External"/><Relationship Id="rId37" Type="http://schemas.openxmlformats.org/officeDocument/2006/relationships/hyperlink" Target="http://www.smartgrowthbop.org.nz/media/52877/draft_housing_stock_and_housing_demand_tauranga_2012.pdf" TargetMode="External"/><Relationship Id="rId40" Type="http://schemas.openxmlformats.org/officeDocument/2006/relationships/hyperlink" Target="http://www.newplymouthnz.com/CouncilDocuments/PlansAndStrategies/NewPlymouthDistrictBlueprint.htm" TargetMode="External"/><Relationship Id="rId45" Type="http://schemas.openxmlformats.org/officeDocument/2006/relationships/hyperlink" Target="http://www.qldc.govt.nz/assets/Uploads/Planning/District-Plan/Fact-Sheets-and-other-resources/District-Capacity-March-2015.pdf" TargetMode="External"/><Relationship Id="rId53" Type="http://schemas.openxmlformats.org/officeDocument/2006/relationships/hyperlink" Target="http://www.waikatoregion.govt.nz/PageFiles/39490/Waikato_Population_Projections_Report_to_Strategy_and_Policy_Committee.pdf" TargetMode="External"/><Relationship Id="rId58" Type="http://schemas.openxmlformats.org/officeDocument/2006/relationships/hyperlink" Target="http://wellington.govt.nz/~/media/your-council/plans-policies-and-bylaws/district-plan/effectiveness-and-review/shapingup2013.pdf"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hyperlink" Target="https://hearings.aupihp.govt.nz/hearings" TargetMode="External"/><Relationship Id="rId36" Type="http://schemas.openxmlformats.org/officeDocument/2006/relationships/hyperlink" Target="http://www.productivity.govt.nz/sites/default/files/sub-using-land-for-housing-70-hamilton-city-council-377Kb.pdf" TargetMode="External"/><Relationship Id="rId49" Type="http://schemas.openxmlformats.org/officeDocument/2006/relationships/hyperlink" Target="http://www.smartgrowthbop.org.nz/2013-strategy.aspx" TargetMode="External"/><Relationship Id="rId57" Type="http://schemas.openxmlformats.org/officeDocument/2006/relationships/hyperlink" Target="http://wellington.govt.nz/~/media/your-council/plans-policies-and-bylaws/district-plan/changes/active-changes-variations/files/change73-orv1chap33busobj.pdf" TargetMode="External"/><Relationship Id="rId61"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resources.ccc.govt.nz/files/TheCouncil/policiesreportsstrategies/districtplanning/districtplanreview/Appendix4-MediumDensityAnalysisDOC.pdf" TargetMode="External"/><Relationship Id="rId44" Type="http://schemas.openxmlformats.org/officeDocument/2006/relationships/hyperlink" Target="http://www.qldc.govt.nz/planning/district-plan/proposed-district-plan/dwelling-capacity-model-dcm/" TargetMode="External"/><Relationship Id="rId52" Type="http://schemas.openxmlformats.org/officeDocument/2006/relationships/hyperlink" Target="http://www.futureproof.org.nz/file/Business-Land-Review/future-proof-business-land-reconciliation-081210.pdf" TargetMode="External"/><Relationship Id="rId60" Type="http://schemas.openxmlformats.org/officeDocument/2006/relationships/hyperlink" Target="https://hearings.aupihp.govt.nz/online-services/new/files/UA360wWBWgN8okbKeRcnrsPqpfGvVw1NSw7bIAoUA360"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e.govt.nz" TargetMode="External"/><Relationship Id="rId22" Type="http://schemas.openxmlformats.org/officeDocument/2006/relationships/image" Target="media/image4.png"/><Relationship Id="rId27" Type="http://schemas.openxmlformats.org/officeDocument/2006/relationships/hyperlink" Target="https://hearings.aupihp.govt.nz/online-services/new/files/g2H1lRvgbyWp7WcZjYUMUqF31JpkbXfKxfvKcB7MXg2H" TargetMode="External"/><Relationship Id="rId30" Type="http://schemas.openxmlformats.org/officeDocument/2006/relationships/hyperlink" Target="http://resources.ccc.govt.nz/files/TheCouncil/policiesreportsstrategies/districtplanning/districtplanreview/Appendix8.3-PropertyEconomicsReport.pdf" TargetMode="External"/><Relationship Id="rId35" Type="http://schemas.openxmlformats.org/officeDocument/2006/relationships/hyperlink" Target="http://www.greaterchristchurch.org.nz/News/PDF/Final-GreaterChristchurchHousingMarketAssessment-20130817.pdf" TargetMode="External"/><Relationship Id="rId43" Type="http://schemas.openxmlformats.org/officeDocument/2006/relationships/hyperlink" Target="http://www.qldc.govt.nz/assets/OldImages/Files/District_Plan_Review_Brochures/Business_Zones_Capacity_15_Nov_2013.pdf" TargetMode="External"/><Relationship Id="rId48" Type="http://schemas.openxmlformats.org/officeDocument/2006/relationships/hyperlink" Target="http://www.selwyn.govt.nz/__data/assets/pdf_file/0004/139594/02-RRS14-Web.pdf" TargetMode="External"/><Relationship Id="rId56" Type="http://schemas.openxmlformats.org/officeDocument/2006/relationships/hyperlink" Target="http://wellington.govt.nz/~/media/your-council/projects/files/infill-growthspine.pdf" TargetMode="External"/><Relationship Id="rId64"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yperlink" Target="https://hearings.aupihp.govt.nz/online-services/new/files/LCGAJFbTDyPdPddhRDm2nwSVZZqjVbkknN5ADqmNosLC"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s://hearings.aupihp.govt.nz/online-services/new/files/7d94SPVbOB64VQ0fbw0PvJ7eSaSwIFwonWLiqq1pMoM7" TargetMode="External"/><Relationship Id="rId33" Type="http://schemas.openxmlformats.org/officeDocument/2006/relationships/hyperlink" Target="http://static1.squarespace.com/static/546d47b8e4b07b4ef0db4b25/t/547ae229e4b0d6f577779f86/1417339445092/SD4+Industrial+FGA+2014+11+20+Final+Report.pdf" TargetMode="External"/><Relationship Id="rId38" Type="http://schemas.openxmlformats.org/officeDocument/2006/relationships/hyperlink" Target="http://www.productivity.govt.nz/sites/default/files/using-land-nzier-land-use-regulation-report.pdf" TargetMode="External"/><Relationship Id="rId46" Type="http://schemas.openxmlformats.org/officeDocument/2006/relationships/hyperlink" Target="http://www.smartgrowthbop.org.nz/media/50979/identified_uga_s_stream_report__final_091112_.doc" TargetMode="External"/><Relationship Id="rId59" Type="http://schemas.openxmlformats.org/officeDocument/2006/relationships/hyperlink" Target="http://wellington.govt.nz/~/media/your-council/plans-policies-and-bylaws/plans-and-policies/a-to-z/wgtn-urban-growth/wgtn-urban-growth-plan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2B46B-3F4E-4FE8-B555-A3401840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12904</Words>
  <Characters>73555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document template warm colour pallet</vt:lpstr>
    </vt:vector>
  </TitlesOfParts>
  <LinksUpToDate>false</LinksUpToDate>
  <CharactersWithSpaces>86287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 warm colour pallet</dc:title>
  <dc:creator/>
  <cp:lastModifiedBy/>
  <cp:revision>1</cp:revision>
  <dcterms:created xsi:type="dcterms:W3CDTF">2016-07-04T03:01:00Z</dcterms:created>
  <dcterms:modified xsi:type="dcterms:W3CDTF">2016-07-04T22:30:00Z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000001651581</vt:lpwstr>
  </property>
  <property fmtid="{D5CDD505-2E9C-101B-9397-08002B2CF9AE}" pid="3" name="DisplayName">
    <vt:lpwstr>03 - Forms and Templates</vt:lpwstr>
  </property>
  <property fmtid="{D5CDD505-2E9C-101B-9397-08002B2CF9AE}" pid="4" name="Class">
    <vt:lpwstr>CM/CM_PM/CM_PM_One/CM_PM_One_Three</vt:lpwstr>
  </property>
  <property fmtid="{D5CDD505-2E9C-101B-9397-08002B2CF9AE}" pid="5" name="ClassComments">
    <vt:lpwstr/>
  </property>
  <property fmtid="{D5CDD505-2E9C-101B-9397-08002B2CF9AE}" pid="6" name="AddedBy">
    <vt:lpwstr>StirlingL</vt:lpwstr>
  </property>
  <property fmtid="{D5CDD505-2E9C-101B-9397-08002B2CF9AE}" pid="7" name="DateAdded">
    <vt:filetime>2014-12-17T02:11:27Z</vt:filetime>
  </property>
  <property fmtid="{D5CDD505-2E9C-101B-9397-08002B2CF9AE}" pid="8" name="FirstAddedBy">
    <vt:lpwstr>StirlingL</vt:lpwstr>
  </property>
  <property fmtid="{D5CDD505-2E9C-101B-9397-08002B2CF9AE}" pid="9" name="DateFirstAdded">
    <vt:filetime>2014-12-17T02:11:27Z</vt:filetime>
  </property>
  <property fmtid="{D5CDD505-2E9C-101B-9397-08002B2CF9AE}" pid="10" name="LastModifiedBy">
    <vt:lpwstr>StirlingL</vt:lpwstr>
  </property>
  <property fmtid="{D5CDD505-2E9C-101B-9397-08002B2CF9AE}" pid="11" name="DateLastModified">
    <vt:filetime>2014-12-17T02:11:27Z</vt:filetime>
  </property>
  <property fmtid="{D5CDD505-2E9C-101B-9397-08002B2CF9AE}" pid="12" name="IsCheckedOut">
    <vt:bool>true</vt:bool>
  </property>
  <property fmtid="{D5CDD505-2E9C-101B-9397-08002B2CF9AE}" pid="13" name="CheckedOutBy">
    <vt:lpwstr>StirlingL</vt:lpwstr>
  </property>
  <property fmtid="{D5CDD505-2E9C-101B-9397-08002B2CF9AE}" pid="14" name="CheckOutComment">
    <vt:lpwstr/>
  </property>
  <property fmtid="{D5CDD505-2E9C-101B-9397-08002B2CF9AE}" pid="15" name="CheckOutDate">
    <vt:filetime>2015-01-20T20:16:36Z</vt:filetime>
  </property>
  <property fmtid="{D5CDD505-2E9C-101B-9397-08002B2CF9AE}" pid="16" name="VersionStatus">
    <vt:i4>3</vt:i4>
  </property>
  <property fmtid="{D5CDD505-2E9C-101B-9397-08002B2CF9AE}" pid="17" name="ProtectMode">
    <vt:i4>4194336</vt:i4>
  </property>
  <property fmtid="{D5CDD505-2E9C-101B-9397-08002B2CF9AE}" pid="18" name="IndexMode">
    <vt:i4>0</vt:i4>
  </property>
  <property fmtid="{D5CDD505-2E9C-101B-9397-08002B2CF9AE}" pid="19" name="MaxVersionsOnline">
    <vt:i4>0</vt:i4>
  </property>
  <property fmtid="{D5CDD505-2E9C-101B-9397-08002B2CF9AE}" pid="20" name="Version">
    <vt:lpwstr>1.0</vt:lpwstr>
  </property>
  <property fmtid="{D5CDD505-2E9C-101B-9397-08002B2CF9AE}" pid="21" name="Versions">
    <vt:lpwstr>1.0</vt:lpwstr>
  </property>
  <property fmtid="{D5CDD505-2E9C-101B-9397-08002B2CF9AE}" pid="22" name="ContentVersion">
    <vt:lpwstr>1.0</vt:lpwstr>
  </property>
  <property fmtid="{D5CDD505-2E9C-101B-9397-08002B2CF9AE}" pid="23" name="ContentType">
    <vt:i4>1</vt:i4>
  </property>
  <property fmtid="{D5CDD505-2E9C-101B-9397-08002B2CF9AE}" pid="24" name="ContentSize">
    <vt:i4>325866</vt:i4>
  </property>
  <property fmtid="{D5CDD505-2E9C-101B-9397-08002B2CF9AE}" pid="25" name="LocaleID">
    <vt:i4>0</vt:i4>
  </property>
  <property fmtid="{D5CDD505-2E9C-101B-9397-08002B2CF9AE}" pid="26" name="RequiredSignatures">
    <vt:lpwstr/>
  </property>
  <property fmtid="{D5CDD505-2E9C-101B-9397-08002B2CF9AE}" pid="27" name="SignaturesRequired">
    <vt:lpwstr/>
  </property>
  <property fmtid="{D5CDD505-2E9C-101B-9397-08002B2CF9AE}" pid="28" name="Signatures">
    <vt:lpwstr/>
  </property>
  <property fmtid="{D5CDD505-2E9C-101B-9397-08002B2CF9AE}" pid="29" name="DateAvailable">
    <vt:filetime>1899-12-29T11:00:00Z</vt:filetime>
  </property>
  <property fmtid="{D5CDD505-2E9C-101B-9397-08002B2CF9AE}" pid="30" name="DateExpires">
    <vt:filetime>1899-12-29T11:00:00Z</vt:filetime>
  </property>
  <property fmtid="{D5CDD505-2E9C-101B-9397-08002B2CF9AE}" pid="31" name="RelativeDateExpires">
    <vt:lpwstr>12:00:00 a.m.</vt:lpwstr>
  </property>
  <property fmtid="{D5CDD505-2E9C-101B-9397-08002B2CF9AE}" pid="32" name="Parents">
    <vt:lpwstr>b87723bf5f16fc604ddd0afe17b14fde</vt:lpwstr>
  </property>
  <property fmtid="{D5CDD505-2E9C-101B-9397-08002B2CF9AE}" pid="33" name="Children">
    <vt:lpwstr/>
  </property>
  <property fmtid="{D5CDD505-2E9C-101B-9397-08002B2CF9AE}" pid="34" name="Master">
    <vt:lpwstr/>
  </property>
  <property fmtid="{D5CDD505-2E9C-101B-9397-08002B2CF9AE}" pid="35" name="Slaves">
    <vt:lpwstr/>
  </property>
  <property fmtid="{D5CDD505-2E9C-101B-9397-08002B2CF9AE}" pid="36" name="PublishPaths">
    <vt:lpwstr/>
  </property>
  <property fmtid="{D5CDD505-2E9C-101B-9397-08002B2CF9AE}" pid="37" name="SeeAlso">
    <vt:lpwstr/>
  </property>
  <property fmtid="{D5CDD505-2E9C-101B-9397-08002B2CF9AE}" pid="38" name="Folders">
    <vt:lpwstr/>
  </property>
  <property fmtid="{D5CDD505-2E9C-101B-9397-08002B2CF9AE}" pid="39" name="MetaPath">
    <vt:lpwstr>\CM\CM_PM\CM_PM_One\CM_PM_One_Three</vt:lpwstr>
  </property>
  <property fmtid="{D5CDD505-2E9C-101B-9397-08002B2CF9AE}" pid="40" name="ContentPath">
    <vt:lpwstr>\CM\CM_PM\CM_PM_One\CM_PM_One_Three</vt:lpwstr>
  </property>
  <property fmtid="{D5CDD505-2E9C-101B-9397-08002B2CF9AE}" pid="41" name="ArchiveMetaPath">
    <vt:lpwstr>\CM\CM_PM\CM_PM_One\CM_PM_One_Three</vt:lpwstr>
  </property>
  <property fmtid="{D5CDD505-2E9C-101B-9397-08002B2CF9AE}" pid="42" name="ArchiveContentPath">
    <vt:lpwstr>\CM\CM_PM\CM_PM_One\CM_PM_One_Three</vt:lpwstr>
  </property>
  <property fmtid="{D5CDD505-2E9C-101B-9397-08002B2CF9AE}" pid="43" name="ContentVPath">
    <vt:lpwstr>/CM/CM_PM/CM_PM_One/CM_PM_One_Three</vt:lpwstr>
  </property>
  <property fmtid="{D5CDD505-2E9C-101B-9397-08002B2CF9AE}" pid="44" name="Icon">
    <vt:lpwstr/>
  </property>
  <property fmtid="{D5CDD505-2E9C-101B-9397-08002B2CF9AE}" pid="45" name="DefaultContent">
    <vt:lpwstr/>
  </property>
  <property fmtid="{D5CDD505-2E9C-101B-9397-08002B2CF9AE}" pid="46" name="DefaultFormat">
    <vt:lpwstr>dotx</vt:lpwstr>
  </property>
  <property fmtid="{D5CDD505-2E9C-101B-9397-08002B2CF9AE}" pid="47" name="DefaultForm">
    <vt:lpwstr/>
  </property>
  <property fmtid="{D5CDD505-2E9C-101B-9397-08002B2CF9AE}" pid="48" name="DefaultUIHandler">
    <vt:lpwstr/>
  </property>
  <property fmtid="{D5CDD505-2E9C-101B-9397-08002B2CF9AE}" pid="49" name="Abstract">
    <vt:bool>false</vt:bool>
  </property>
  <property fmtid="{D5CDD505-2E9C-101B-9397-08002B2CF9AE}" pid="50" name="PossibleSuperiors">
    <vt:lpwstr>CM_PM_One</vt:lpwstr>
  </property>
  <property fmtid="{D5CDD505-2E9C-101B-9397-08002B2CF9AE}" pid="51" name="HelpFileContext">
    <vt:i4>0</vt:i4>
  </property>
  <property fmtid="{D5CDD505-2E9C-101B-9397-08002B2CF9AE}" pid="52" name="HelpFileName">
    <vt:lpwstr/>
  </property>
  <property fmtid="{D5CDD505-2E9C-101B-9397-08002B2CF9AE}" pid="53" name="AMP__OriginalAuthor">
    <vt:lpwstr/>
  </property>
  <property fmtid="{D5CDD505-2E9C-101B-9397-08002B2CF9AE}" pid="54" name="Description">
    <vt:lpwstr/>
  </property>
  <property fmtid="{D5CDD505-2E9C-101B-9397-08002B2CF9AE}" pid="55" name="Doctype">
    <vt:lpwstr>Publication</vt:lpwstr>
  </property>
  <property fmtid="{D5CDD505-2E9C-101B-9397-08002B2CF9AE}" pid="56" name="To">
    <vt:lpwstr/>
  </property>
  <property fmtid="{D5CDD505-2E9C-101B-9397-08002B2CF9AE}" pid="57" name="From">
    <vt:lpwstr/>
  </property>
  <property fmtid="{D5CDD505-2E9C-101B-9397-08002B2CF9AE}" pid="58" name="Sent_Received">
    <vt:filetime>1899-12-29T11:00:00Z</vt:filetime>
  </property>
  <property fmtid="{D5CDD505-2E9C-101B-9397-08002B2CF9AE}" pid="59" name="ContractNumber">
    <vt:lpwstr/>
  </property>
  <property fmtid="{D5CDD505-2E9C-101B-9397-08002B2CF9AE}" pid="60" name="Status">
    <vt:lpwstr>Draft</vt:lpwstr>
  </property>
  <property fmtid="{D5CDD505-2E9C-101B-9397-08002B2CF9AE}" pid="61" name="Year">
    <vt:lpwstr>2014 - 2015</vt:lpwstr>
  </property>
  <property fmtid="{D5CDD505-2E9C-101B-9397-08002B2CF9AE}" pid="62" name="adspath">
    <vt:lpwstr>Amphora://EDRMS1/CM/CM_PM/CM_PM_One/CM_PM_One_Three/000001651581</vt:lpwstr>
  </property>
  <property fmtid="{D5CDD505-2E9C-101B-9397-08002B2CF9AE}" pid="63" name="_AdHocReviewCycleID">
    <vt:i4>-663274304</vt:i4>
  </property>
  <property fmtid="{D5CDD505-2E9C-101B-9397-08002B2CF9AE}" pid="64" name="_NewReviewCycle">
    <vt:lpwstr/>
  </property>
  <property fmtid="{D5CDD505-2E9C-101B-9397-08002B2CF9AE}" pid="65" name="_ReviewingToolsShownOnce">
    <vt:lpwstr/>
  </property>
</Properties>
</file>