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A0" w:rsidRPr="007401A0" w:rsidRDefault="007401A0" w:rsidP="007401A0">
      <w:pPr>
        <w:pStyle w:val="Title"/>
        <w:spacing w:line="360" w:lineRule="auto"/>
        <w:ind w:right="0"/>
        <w:jc w:val="center"/>
        <w:outlineLvl w:val="9"/>
        <w:rPr>
          <w:rFonts w:eastAsiaTheme="minorEastAsia" w:cstheme="minorBidi"/>
          <w:bCs w:val="0"/>
          <w:color w:val="17556C"/>
          <w:spacing w:val="0"/>
          <w:sz w:val="52"/>
          <w:szCs w:val="22"/>
        </w:rPr>
      </w:pPr>
      <w:bookmarkStart w:id="0" w:name="_Toc479073448"/>
      <w:r>
        <w:rPr>
          <w:rFonts w:eastAsiaTheme="minorEastAsia" w:cstheme="minorBidi"/>
          <w:bCs w:val="0"/>
          <w:color w:val="17556C"/>
          <w:spacing w:val="0"/>
          <w:sz w:val="52"/>
          <w:szCs w:val="22"/>
        </w:rPr>
        <w:t xml:space="preserve">Swimming categories for </w:t>
      </w:r>
      <w:r w:rsidRPr="001D52DE">
        <w:rPr>
          <w:rFonts w:eastAsiaTheme="minorEastAsia" w:cstheme="minorBidi"/>
          <w:bCs w:val="0"/>
          <w:i/>
          <w:color w:val="17556C"/>
          <w:spacing w:val="0"/>
          <w:sz w:val="52"/>
          <w:szCs w:val="22"/>
        </w:rPr>
        <w:t>E. coli</w:t>
      </w:r>
      <w:r>
        <w:rPr>
          <w:rFonts w:eastAsiaTheme="minorEastAsia" w:cstheme="minorBidi"/>
          <w:bCs w:val="0"/>
          <w:color w:val="17556C"/>
          <w:spacing w:val="0"/>
          <w:sz w:val="52"/>
          <w:szCs w:val="22"/>
        </w:rPr>
        <w:t xml:space="preserve"> in the Clean Water package</w:t>
      </w:r>
    </w:p>
    <w:p w:rsidR="007401A0" w:rsidRPr="007401A0" w:rsidRDefault="001D52DE" w:rsidP="007401A0">
      <w:pPr>
        <w:pStyle w:val="Subtitle"/>
        <w:spacing w:before="600" w:line="240" w:lineRule="auto"/>
        <w:jc w:val="center"/>
        <w:outlineLvl w:val="9"/>
        <w:rPr>
          <w:rFonts w:ascii="Calibri" w:eastAsiaTheme="minorEastAsia" w:hAnsi="Calibri" w:cstheme="minorBidi"/>
          <w:bCs w:val="0"/>
          <w:color w:val="17556C"/>
          <w:spacing w:val="0"/>
          <w:sz w:val="36"/>
          <w:szCs w:val="36"/>
        </w:rPr>
      </w:pPr>
      <w:r>
        <w:rPr>
          <w:rFonts w:ascii="Calibri" w:eastAsiaTheme="minorEastAsia" w:hAnsi="Calibri" w:cstheme="minorBidi"/>
          <w:bCs w:val="0"/>
          <w:color w:val="17556C"/>
          <w:spacing w:val="0"/>
          <w:sz w:val="36"/>
          <w:szCs w:val="36"/>
        </w:rPr>
        <w:t>A summary of the categories and their relationship to human health risk from swimming</w:t>
      </w:r>
    </w:p>
    <w:p w:rsidR="007401A0" w:rsidRPr="006B77BB" w:rsidRDefault="007401A0" w:rsidP="007401A0">
      <w:pPr>
        <w:pStyle w:val="BodyText"/>
      </w:pPr>
    </w:p>
    <w:p w:rsidR="007401A0" w:rsidRPr="006B77BB" w:rsidRDefault="007401A0" w:rsidP="007401A0">
      <w:pPr>
        <w:pStyle w:val="BodyText"/>
      </w:pPr>
    </w:p>
    <w:p w:rsidR="007401A0" w:rsidRPr="006B77BB" w:rsidRDefault="007401A0" w:rsidP="007401A0">
      <w:pPr>
        <w:jc w:val="left"/>
        <w:rPr>
          <w:color w:val="FF0000"/>
        </w:rPr>
        <w:sectPr w:rsidR="007401A0" w:rsidRPr="006B77BB" w:rsidSect="007401A0">
          <w:headerReference w:type="default" r:id="rId9"/>
          <w:footerReference w:type="default" r:id="rId10"/>
          <w:pgSz w:w="11907" w:h="16840" w:code="9"/>
          <w:pgMar w:top="5670" w:right="1418" w:bottom="1701" w:left="1418" w:header="567" w:footer="1134" w:gutter="0"/>
          <w:cols w:space="720"/>
        </w:sectPr>
      </w:pPr>
    </w:p>
    <w:p w:rsidR="007401A0" w:rsidRPr="006B77BB" w:rsidRDefault="007401A0" w:rsidP="007401A0">
      <w:pPr>
        <w:pStyle w:val="Imprint"/>
        <w:spacing w:before="0" w:after="0"/>
        <w:rPr>
          <w:b/>
        </w:rPr>
      </w:pPr>
      <w:r w:rsidRPr="006B77BB">
        <w:rPr>
          <w:b/>
        </w:rPr>
        <w:lastRenderedPageBreak/>
        <w:t>Disclaimer</w:t>
      </w:r>
    </w:p>
    <w:p w:rsidR="00385290" w:rsidRDefault="00385290" w:rsidP="00385290">
      <w:pPr>
        <w:pStyle w:val="BodyText"/>
      </w:pPr>
      <w:r>
        <w:t xml:space="preserve">The information in this publication is, according to the Ministry for the Environment’s best efforts, accurate at the time of publication and the Ministry makes every reasonable effort to keep it current and accurate. However, users of the publication are advised that: </w:t>
      </w:r>
    </w:p>
    <w:p w:rsidR="00385290" w:rsidRDefault="00385290" w:rsidP="00385290">
      <w:pPr>
        <w:pStyle w:val="BoxBullet"/>
      </w:pPr>
      <w:r>
        <w:t xml:space="preserve">The information provided has no official status and so does not alter the laws of New Zealand and other official guidelines or requirements. </w:t>
      </w:r>
    </w:p>
    <w:p w:rsidR="00385290" w:rsidRDefault="00385290" w:rsidP="00385290">
      <w:pPr>
        <w:pStyle w:val="BoxBullet"/>
      </w:pPr>
      <w:r>
        <w:t xml:space="preserve">It does not constitute legal advice, and users should take specific advice from qualified professional people before undertaking any action as a result of information obtained from this publication. </w:t>
      </w:r>
    </w:p>
    <w:p w:rsidR="00385290" w:rsidRDefault="00385290" w:rsidP="00385290">
      <w:pPr>
        <w:pStyle w:val="BoxBullet"/>
      </w:pPr>
      <w:r>
        <w:t xml:space="preserve">The Ministry for the Environment does not accept any responsibility or liability whatsoever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 </w:t>
      </w:r>
    </w:p>
    <w:p w:rsidR="00385290" w:rsidRDefault="00385290" w:rsidP="00385290">
      <w:pPr>
        <w:pStyle w:val="BoxBullet"/>
      </w:pPr>
      <w:r>
        <w:t xml:space="preserve">All references to websites, organisations or people not within the Ministry for the Environment are provided for convenience only and should not be taken as endorsement of those websites or information contained in those websites nor of organisations or people referred to. </w:t>
      </w:r>
    </w:p>
    <w:p w:rsidR="007401A0" w:rsidRPr="006B77BB" w:rsidRDefault="007401A0" w:rsidP="007401A0">
      <w:pPr>
        <w:pStyle w:val="Imprint"/>
      </w:pPr>
    </w:p>
    <w:p w:rsidR="007401A0" w:rsidRPr="006B77BB" w:rsidRDefault="007401A0" w:rsidP="007401A0">
      <w:pPr>
        <w:pStyle w:val="Imprint"/>
      </w:pPr>
      <w:r w:rsidRPr="006B77BB">
        <w:t xml:space="preserve">This document may be cited as: Ministry for the Environment. </w:t>
      </w:r>
      <w:r w:rsidR="00905B2D">
        <w:t>2017</w:t>
      </w:r>
      <w:r w:rsidRPr="006B77BB">
        <w:t xml:space="preserve">. </w:t>
      </w:r>
      <w:r w:rsidR="00905B2D">
        <w:rPr>
          <w:i/>
        </w:rPr>
        <w:t xml:space="preserve">Swimming categories for E. coli in the Clean Water </w:t>
      </w:r>
      <w:r w:rsidR="00ED18E4">
        <w:rPr>
          <w:i/>
        </w:rPr>
        <w:t>p</w:t>
      </w:r>
      <w:r w:rsidR="00905B2D">
        <w:rPr>
          <w:i/>
        </w:rPr>
        <w:t>ackage</w:t>
      </w:r>
      <w:r w:rsidR="00751274">
        <w:rPr>
          <w:i/>
        </w:rPr>
        <w:t>: A summary of the categories and their relationship to human health risk from swimming</w:t>
      </w:r>
      <w:r w:rsidRPr="006B77BB">
        <w:t>. Wellington: Ministry for the Environment.</w:t>
      </w:r>
    </w:p>
    <w:p w:rsidR="007401A0" w:rsidRDefault="007401A0" w:rsidP="007401A0">
      <w:pPr>
        <w:pStyle w:val="Imprint"/>
      </w:pPr>
    </w:p>
    <w:p w:rsidR="007401A0" w:rsidRPr="006B77BB" w:rsidRDefault="007401A0" w:rsidP="007401A0">
      <w:pPr>
        <w:pStyle w:val="Imprint"/>
      </w:pPr>
    </w:p>
    <w:p w:rsidR="007401A0" w:rsidRDefault="007401A0" w:rsidP="007401A0">
      <w:pPr>
        <w:pStyle w:val="Imprint"/>
      </w:pPr>
    </w:p>
    <w:p w:rsidR="00751274" w:rsidRDefault="00751274" w:rsidP="007401A0">
      <w:pPr>
        <w:pStyle w:val="Imprint"/>
      </w:pPr>
    </w:p>
    <w:p w:rsidR="007401A0" w:rsidRPr="006B77BB" w:rsidRDefault="007401A0" w:rsidP="007401A0">
      <w:pPr>
        <w:pStyle w:val="Imprint"/>
      </w:pPr>
    </w:p>
    <w:p w:rsidR="007401A0" w:rsidRPr="006B77BB" w:rsidRDefault="007401A0" w:rsidP="007401A0">
      <w:pPr>
        <w:pStyle w:val="Imprint"/>
      </w:pPr>
    </w:p>
    <w:p w:rsidR="007401A0" w:rsidRPr="006B77BB" w:rsidRDefault="007401A0" w:rsidP="007401A0">
      <w:pPr>
        <w:pStyle w:val="Imprint"/>
      </w:pPr>
      <w:r w:rsidRPr="006B77BB">
        <w:t xml:space="preserve">Published in </w:t>
      </w:r>
      <w:r w:rsidR="00905B2D">
        <w:t>May 2017</w:t>
      </w:r>
      <w:r w:rsidRPr="006B77BB">
        <w:t xml:space="preserve"> by the</w:t>
      </w:r>
      <w:r w:rsidRPr="006B77BB">
        <w:br/>
        <w:t xml:space="preserve">Ministry for the Environment </w:t>
      </w:r>
      <w:r w:rsidRPr="006B77BB">
        <w:br/>
        <w:t>Manatū Mō Te Taiao</w:t>
      </w:r>
      <w:r w:rsidRPr="006B77BB">
        <w:br/>
        <w:t>PO Box 10362, Wellington 6143, New Zealand</w:t>
      </w:r>
    </w:p>
    <w:p w:rsidR="007401A0" w:rsidRPr="006B77BB" w:rsidRDefault="007401A0" w:rsidP="007401A0">
      <w:pPr>
        <w:pStyle w:val="Imprint"/>
        <w:tabs>
          <w:tab w:val="left" w:pos="720"/>
        </w:tabs>
        <w:ind w:left="720" w:hanging="720"/>
      </w:pPr>
      <w:r w:rsidRPr="006B77BB">
        <w:t xml:space="preserve">ISBN: </w:t>
      </w:r>
      <w:r w:rsidR="000F4017">
        <w:t>978-1-98-852502-0</w:t>
      </w:r>
      <w:r w:rsidRPr="006B77BB">
        <w:t xml:space="preserve"> </w:t>
      </w:r>
    </w:p>
    <w:p w:rsidR="007401A0" w:rsidRPr="006B77BB" w:rsidRDefault="007401A0" w:rsidP="007401A0">
      <w:pPr>
        <w:pStyle w:val="Imprint"/>
        <w:ind w:left="720" w:hanging="720"/>
      </w:pPr>
      <w:r w:rsidRPr="006B77BB">
        <w:t xml:space="preserve">Publication number: </w:t>
      </w:r>
      <w:r w:rsidRPr="000F4017">
        <w:t xml:space="preserve">ME </w:t>
      </w:r>
      <w:r w:rsidR="000F4017">
        <w:t>1308</w:t>
      </w:r>
    </w:p>
    <w:p w:rsidR="007401A0" w:rsidRPr="006B77BB" w:rsidRDefault="007401A0" w:rsidP="007401A0">
      <w:pPr>
        <w:pStyle w:val="Imprint"/>
        <w:spacing w:after="80"/>
      </w:pPr>
      <w:r w:rsidRPr="006B77BB">
        <w:t xml:space="preserve">© Crown copyright New Zealand </w:t>
      </w:r>
      <w:r w:rsidR="00905B2D">
        <w:t>2017</w:t>
      </w:r>
    </w:p>
    <w:p w:rsidR="007401A0" w:rsidRPr="00DC13A0" w:rsidRDefault="007401A0" w:rsidP="007401A0">
      <w:pPr>
        <w:pStyle w:val="Imprint"/>
        <w:spacing w:before="240" w:after="0"/>
        <w:rPr>
          <w:rStyle w:val="Hyperlink"/>
          <w:color w:val="auto"/>
        </w:rPr>
      </w:pPr>
      <w:r w:rsidRPr="006B77BB">
        <w:t xml:space="preserve">This document is available on the Ministry for the Environment website: </w:t>
      </w:r>
      <w:hyperlink r:id="rId11" w:history="1">
        <w:r w:rsidRPr="006B77BB">
          <w:rPr>
            <w:rStyle w:val="Hyperlink"/>
          </w:rPr>
          <w:t>www.mfe.govt.nz</w:t>
        </w:r>
      </w:hyperlink>
      <w:r w:rsidRPr="00DC13A0">
        <w:rPr>
          <w:rStyle w:val="Hyperlink"/>
          <w:color w:val="auto"/>
        </w:rPr>
        <w:t>.</w:t>
      </w:r>
    </w:p>
    <w:p w:rsidR="007401A0" w:rsidRDefault="007401A0" w:rsidP="007401A0">
      <w:pPr>
        <w:pStyle w:val="Imprint"/>
        <w:spacing w:before="240" w:after="0"/>
      </w:pPr>
      <w:r>
        <w:rPr>
          <w:noProof/>
        </w:rPr>
        <w:drawing>
          <wp:inline distT="0" distB="0" distL="0" distR="0" wp14:anchorId="116E6E95" wp14:editId="54950240">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rsidR="007401A0" w:rsidRPr="00A84FE1" w:rsidRDefault="007401A0" w:rsidP="007401A0">
      <w:pPr>
        <w:sectPr w:rsidR="007401A0" w:rsidRPr="00A84FE1" w:rsidSect="007401A0">
          <w:headerReference w:type="even" r:id="rId13"/>
          <w:headerReference w:type="default" r:id="rId14"/>
          <w:footerReference w:type="even" r:id="rId15"/>
          <w:footerReference w:type="default" r:id="rId16"/>
          <w:pgSz w:w="11907" w:h="16840" w:code="9"/>
          <w:pgMar w:top="1134" w:right="1418" w:bottom="1134" w:left="1418" w:header="567" w:footer="567" w:gutter="567"/>
          <w:pgNumType w:fmt="lowerRoman"/>
          <w:cols w:space="720"/>
        </w:sectPr>
      </w:pPr>
    </w:p>
    <w:p w:rsidR="00D31034" w:rsidRDefault="00D31034" w:rsidP="00262001">
      <w:pPr>
        <w:pStyle w:val="Heading1"/>
      </w:pPr>
      <w:bookmarkStart w:id="1" w:name="_Toc479859484"/>
      <w:bookmarkStart w:id="2" w:name="_Toc482112342"/>
      <w:r>
        <w:lastRenderedPageBreak/>
        <w:t>Contents</w:t>
      </w:r>
      <w:bookmarkEnd w:id="1"/>
      <w:bookmarkEnd w:id="2"/>
    </w:p>
    <w:p w:rsidR="00611E4D" w:rsidRDefault="00D31034">
      <w:pPr>
        <w:pStyle w:val="TOC1"/>
        <w:tabs>
          <w:tab w:val="right" w:pos="9016"/>
        </w:tabs>
        <w:rPr>
          <w:rFonts w:asciiTheme="minorHAnsi" w:hAnsiTheme="minorHAnsi"/>
          <w:noProof/>
        </w:rPr>
      </w:pPr>
      <w:r w:rsidRPr="00751274">
        <w:fldChar w:fldCharType="begin"/>
      </w:r>
      <w:r w:rsidRPr="00751274">
        <w:instrText xml:space="preserve"> TOC \o "1-2" \h \z \u </w:instrText>
      </w:r>
      <w:r w:rsidRPr="00751274">
        <w:fldChar w:fldCharType="separate"/>
      </w:r>
      <w:hyperlink w:anchor="_Toc482112343" w:history="1">
        <w:r w:rsidR="00611E4D" w:rsidRPr="00D4418B">
          <w:rPr>
            <w:rStyle w:val="Hyperlink"/>
            <w:noProof/>
          </w:rPr>
          <w:t>Introduction</w:t>
        </w:r>
        <w:r w:rsidR="00611E4D">
          <w:rPr>
            <w:noProof/>
            <w:webHidden/>
          </w:rPr>
          <w:tab/>
        </w:r>
        <w:r w:rsidR="00611E4D">
          <w:rPr>
            <w:noProof/>
            <w:webHidden/>
          </w:rPr>
          <w:fldChar w:fldCharType="begin"/>
        </w:r>
        <w:r w:rsidR="00611E4D">
          <w:rPr>
            <w:noProof/>
            <w:webHidden/>
          </w:rPr>
          <w:instrText xml:space="preserve"> PAGEREF _Toc482112343 \h </w:instrText>
        </w:r>
        <w:r w:rsidR="00611E4D">
          <w:rPr>
            <w:noProof/>
            <w:webHidden/>
          </w:rPr>
        </w:r>
        <w:r w:rsidR="00611E4D">
          <w:rPr>
            <w:noProof/>
            <w:webHidden/>
          </w:rPr>
          <w:fldChar w:fldCharType="separate"/>
        </w:r>
        <w:r w:rsidR="00651447">
          <w:rPr>
            <w:noProof/>
            <w:webHidden/>
          </w:rPr>
          <w:t>4</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44" w:history="1">
        <w:r w:rsidR="00611E4D" w:rsidRPr="00D4418B">
          <w:rPr>
            <w:rStyle w:val="Hyperlink"/>
            <w:noProof/>
          </w:rPr>
          <w:t>Background</w:t>
        </w:r>
        <w:r w:rsidR="00611E4D">
          <w:rPr>
            <w:noProof/>
            <w:webHidden/>
          </w:rPr>
          <w:tab/>
        </w:r>
        <w:r w:rsidR="00611E4D">
          <w:rPr>
            <w:noProof/>
            <w:webHidden/>
          </w:rPr>
          <w:fldChar w:fldCharType="begin"/>
        </w:r>
        <w:r w:rsidR="00611E4D">
          <w:rPr>
            <w:noProof/>
            <w:webHidden/>
          </w:rPr>
          <w:instrText xml:space="preserve"> PAGEREF _Toc482112344 \h </w:instrText>
        </w:r>
        <w:r w:rsidR="00611E4D">
          <w:rPr>
            <w:noProof/>
            <w:webHidden/>
          </w:rPr>
        </w:r>
        <w:r w:rsidR="00611E4D">
          <w:rPr>
            <w:noProof/>
            <w:webHidden/>
          </w:rPr>
          <w:fldChar w:fldCharType="separate"/>
        </w:r>
        <w:r w:rsidR="00651447">
          <w:rPr>
            <w:noProof/>
            <w:webHidden/>
          </w:rPr>
          <w:t>5</w:t>
        </w:r>
        <w:r w:rsidR="00611E4D">
          <w:rPr>
            <w:noProof/>
            <w:webHidden/>
          </w:rPr>
          <w:fldChar w:fldCharType="end"/>
        </w:r>
      </w:hyperlink>
    </w:p>
    <w:p w:rsidR="00611E4D" w:rsidRDefault="00556111">
      <w:pPr>
        <w:pStyle w:val="TOC2"/>
        <w:rPr>
          <w:rFonts w:asciiTheme="minorHAnsi" w:hAnsiTheme="minorHAnsi"/>
          <w:noProof/>
        </w:rPr>
      </w:pPr>
      <w:hyperlink w:anchor="_Toc482112345" w:history="1">
        <w:r w:rsidR="00611E4D" w:rsidRPr="00D4418B">
          <w:rPr>
            <w:rStyle w:val="Hyperlink"/>
            <w:noProof/>
          </w:rPr>
          <w:t>How health risks from swimming are currently measured and managed</w:t>
        </w:r>
        <w:r w:rsidR="00611E4D">
          <w:rPr>
            <w:noProof/>
            <w:webHidden/>
          </w:rPr>
          <w:tab/>
        </w:r>
        <w:r w:rsidR="00611E4D">
          <w:rPr>
            <w:noProof/>
            <w:webHidden/>
          </w:rPr>
          <w:fldChar w:fldCharType="begin"/>
        </w:r>
        <w:r w:rsidR="00611E4D">
          <w:rPr>
            <w:noProof/>
            <w:webHidden/>
          </w:rPr>
          <w:instrText xml:space="preserve"> PAGEREF _Toc482112345 \h </w:instrText>
        </w:r>
        <w:r w:rsidR="00611E4D">
          <w:rPr>
            <w:noProof/>
            <w:webHidden/>
          </w:rPr>
        </w:r>
        <w:r w:rsidR="00611E4D">
          <w:rPr>
            <w:noProof/>
            <w:webHidden/>
          </w:rPr>
          <w:fldChar w:fldCharType="separate"/>
        </w:r>
        <w:r w:rsidR="00651447">
          <w:rPr>
            <w:noProof/>
            <w:webHidden/>
          </w:rPr>
          <w:t>5</w:t>
        </w:r>
        <w:r w:rsidR="00611E4D">
          <w:rPr>
            <w:noProof/>
            <w:webHidden/>
          </w:rPr>
          <w:fldChar w:fldCharType="end"/>
        </w:r>
      </w:hyperlink>
    </w:p>
    <w:p w:rsidR="00611E4D" w:rsidRDefault="00556111">
      <w:pPr>
        <w:pStyle w:val="TOC2"/>
        <w:rPr>
          <w:rFonts w:asciiTheme="minorHAnsi" w:hAnsiTheme="minorHAnsi"/>
          <w:noProof/>
        </w:rPr>
      </w:pPr>
      <w:hyperlink w:anchor="_Toc482112346" w:history="1">
        <w:r w:rsidR="00611E4D" w:rsidRPr="00D4418B">
          <w:rPr>
            <w:rStyle w:val="Hyperlink"/>
            <w:noProof/>
          </w:rPr>
          <w:t>The purpose of swimming maps and proposed swimming targets</w:t>
        </w:r>
        <w:r w:rsidR="00611E4D">
          <w:rPr>
            <w:noProof/>
            <w:webHidden/>
          </w:rPr>
          <w:tab/>
        </w:r>
        <w:r w:rsidR="00611E4D">
          <w:rPr>
            <w:noProof/>
            <w:webHidden/>
          </w:rPr>
          <w:fldChar w:fldCharType="begin"/>
        </w:r>
        <w:r w:rsidR="00611E4D">
          <w:rPr>
            <w:noProof/>
            <w:webHidden/>
          </w:rPr>
          <w:instrText xml:space="preserve"> PAGEREF _Toc482112346 \h </w:instrText>
        </w:r>
        <w:r w:rsidR="00611E4D">
          <w:rPr>
            <w:noProof/>
            <w:webHidden/>
          </w:rPr>
        </w:r>
        <w:r w:rsidR="00611E4D">
          <w:rPr>
            <w:noProof/>
            <w:webHidden/>
          </w:rPr>
          <w:fldChar w:fldCharType="separate"/>
        </w:r>
        <w:r w:rsidR="00651447">
          <w:rPr>
            <w:noProof/>
            <w:webHidden/>
          </w:rPr>
          <w:t>6</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47" w:history="1">
        <w:r w:rsidR="00611E4D" w:rsidRPr="00D4418B">
          <w:rPr>
            <w:rStyle w:val="Hyperlink"/>
            <w:noProof/>
          </w:rPr>
          <w:t>An explanation of the proposed swimming categories</w:t>
        </w:r>
        <w:r w:rsidR="00611E4D">
          <w:rPr>
            <w:noProof/>
            <w:webHidden/>
          </w:rPr>
          <w:tab/>
        </w:r>
        <w:r w:rsidR="00611E4D">
          <w:rPr>
            <w:noProof/>
            <w:webHidden/>
          </w:rPr>
          <w:fldChar w:fldCharType="begin"/>
        </w:r>
        <w:r w:rsidR="00611E4D">
          <w:rPr>
            <w:noProof/>
            <w:webHidden/>
          </w:rPr>
          <w:instrText xml:space="preserve"> PAGEREF _Toc482112347 \h </w:instrText>
        </w:r>
        <w:r w:rsidR="00611E4D">
          <w:rPr>
            <w:noProof/>
            <w:webHidden/>
          </w:rPr>
        </w:r>
        <w:r w:rsidR="00611E4D">
          <w:rPr>
            <w:noProof/>
            <w:webHidden/>
          </w:rPr>
          <w:fldChar w:fldCharType="separate"/>
        </w:r>
        <w:r w:rsidR="00651447">
          <w:rPr>
            <w:noProof/>
            <w:webHidden/>
          </w:rPr>
          <w:t>9</w:t>
        </w:r>
        <w:r w:rsidR="00611E4D">
          <w:rPr>
            <w:noProof/>
            <w:webHidden/>
          </w:rPr>
          <w:fldChar w:fldCharType="end"/>
        </w:r>
      </w:hyperlink>
    </w:p>
    <w:p w:rsidR="00611E4D" w:rsidRDefault="00556111">
      <w:pPr>
        <w:pStyle w:val="TOC2"/>
        <w:rPr>
          <w:rFonts w:asciiTheme="minorHAnsi" w:hAnsiTheme="minorHAnsi"/>
          <w:noProof/>
        </w:rPr>
      </w:pPr>
      <w:hyperlink w:anchor="_Toc482112348" w:history="1">
        <w:r w:rsidR="00611E4D" w:rsidRPr="00D4418B">
          <w:rPr>
            <w:rStyle w:val="Hyperlink"/>
            <w:noProof/>
          </w:rPr>
          <w:t>What constitutes ‘swimmable’</w:t>
        </w:r>
        <w:r w:rsidR="00611E4D">
          <w:rPr>
            <w:noProof/>
            <w:webHidden/>
          </w:rPr>
          <w:tab/>
        </w:r>
        <w:r w:rsidR="00611E4D">
          <w:rPr>
            <w:noProof/>
            <w:webHidden/>
          </w:rPr>
          <w:fldChar w:fldCharType="begin"/>
        </w:r>
        <w:r w:rsidR="00611E4D">
          <w:rPr>
            <w:noProof/>
            <w:webHidden/>
          </w:rPr>
          <w:instrText xml:space="preserve"> PAGEREF _Toc482112348 \h </w:instrText>
        </w:r>
        <w:r w:rsidR="00611E4D">
          <w:rPr>
            <w:noProof/>
            <w:webHidden/>
          </w:rPr>
        </w:r>
        <w:r w:rsidR="00611E4D">
          <w:rPr>
            <w:noProof/>
            <w:webHidden/>
          </w:rPr>
          <w:fldChar w:fldCharType="separate"/>
        </w:r>
        <w:r w:rsidR="00651447">
          <w:rPr>
            <w:noProof/>
            <w:webHidden/>
          </w:rPr>
          <w:t>9</w:t>
        </w:r>
        <w:r w:rsidR="00611E4D">
          <w:rPr>
            <w:noProof/>
            <w:webHidden/>
          </w:rPr>
          <w:fldChar w:fldCharType="end"/>
        </w:r>
      </w:hyperlink>
    </w:p>
    <w:p w:rsidR="00611E4D" w:rsidRDefault="00556111">
      <w:pPr>
        <w:pStyle w:val="TOC2"/>
        <w:rPr>
          <w:rFonts w:asciiTheme="minorHAnsi" w:hAnsiTheme="minorHAnsi"/>
          <w:noProof/>
        </w:rPr>
      </w:pPr>
      <w:hyperlink w:anchor="_Toc482112349" w:history="1">
        <w:r w:rsidR="00611E4D" w:rsidRPr="00D4418B">
          <w:rPr>
            <w:rStyle w:val="Hyperlink"/>
            <w:noProof/>
          </w:rPr>
          <w:t xml:space="preserve">Fluctuations in </w:t>
        </w:r>
        <w:r w:rsidR="00611E4D" w:rsidRPr="00D4418B">
          <w:rPr>
            <w:rStyle w:val="Hyperlink"/>
            <w:i/>
            <w:noProof/>
          </w:rPr>
          <w:t>E. coli</w:t>
        </w:r>
        <w:r w:rsidR="00611E4D" w:rsidRPr="00D4418B">
          <w:rPr>
            <w:rStyle w:val="Hyperlink"/>
            <w:noProof/>
          </w:rPr>
          <w:t xml:space="preserve"> levels</w:t>
        </w:r>
        <w:r w:rsidR="00611E4D">
          <w:rPr>
            <w:noProof/>
            <w:webHidden/>
          </w:rPr>
          <w:tab/>
        </w:r>
        <w:r w:rsidR="00611E4D">
          <w:rPr>
            <w:noProof/>
            <w:webHidden/>
          </w:rPr>
          <w:fldChar w:fldCharType="begin"/>
        </w:r>
        <w:r w:rsidR="00611E4D">
          <w:rPr>
            <w:noProof/>
            <w:webHidden/>
          </w:rPr>
          <w:instrText xml:space="preserve"> PAGEREF _Toc482112349 \h </w:instrText>
        </w:r>
        <w:r w:rsidR="00611E4D">
          <w:rPr>
            <w:noProof/>
            <w:webHidden/>
          </w:rPr>
        </w:r>
        <w:r w:rsidR="00611E4D">
          <w:rPr>
            <w:noProof/>
            <w:webHidden/>
          </w:rPr>
          <w:fldChar w:fldCharType="separate"/>
        </w:r>
        <w:r w:rsidR="00651447">
          <w:rPr>
            <w:noProof/>
            <w:webHidden/>
          </w:rPr>
          <w:t>9</w:t>
        </w:r>
        <w:r w:rsidR="00611E4D">
          <w:rPr>
            <w:noProof/>
            <w:webHidden/>
          </w:rPr>
          <w:fldChar w:fldCharType="end"/>
        </w:r>
      </w:hyperlink>
    </w:p>
    <w:p w:rsidR="00611E4D" w:rsidRDefault="00556111">
      <w:pPr>
        <w:pStyle w:val="TOC2"/>
        <w:rPr>
          <w:rFonts w:asciiTheme="minorHAnsi" w:hAnsiTheme="minorHAnsi"/>
          <w:noProof/>
        </w:rPr>
      </w:pPr>
      <w:hyperlink w:anchor="_Toc482112350" w:history="1">
        <w:r w:rsidR="00611E4D" w:rsidRPr="00D4418B">
          <w:rPr>
            <w:rStyle w:val="Hyperlink"/>
            <w:noProof/>
          </w:rPr>
          <w:t>The four statistical measures</w:t>
        </w:r>
        <w:r w:rsidR="00611E4D">
          <w:rPr>
            <w:noProof/>
            <w:webHidden/>
          </w:rPr>
          <w:tab/>
        </w:r>
        <w:r w:rsidR="00611E4D">
          <w:rPr>
            <w:noProof/>
            <w:webHidden/>
          </w:rPr>
          <w:fldChar w:fldCharType="begin"/>
        </w:r>
        <w:r w:rsidR="00611E4D">
          <w:rPr>
            <w:noProof/>
            <w:webHidden/>
          </w:rPr>
          <w:instrText xml:space="preserve"> PAGEREF _Toc482112350 \h </w:instrText>
        </w:r>
        <w:r w:rsidR="00611E4D">
          <w:rPr>
            <w:noProof/>
            <w:webHidden/>
          </w:rPr>
        </w:r>
        <w:r w:rsidR="00611E4D">
          <w:rPr>
            <w:noProof/>
            <w:webHidden/>
          </w:rPr>
          <w:fldChar w:fldCharType="separate"/>
        </w:r>
        <w:r w:rsidR="00651447">
          <w:rPr>
            <w:noProof/>
            <w:webHidden/>
          </w:rPr>
          <w:t>9</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51" w:history="1">
        <w:r w:rsidR="00611E4D" w:rsidRPr="00D4418B">
          <w:rPr>
            <w:rStyle w:val="Hyperlink"/>
            <w:noProof/>
          </w:rPr>
          <w:t>Risk in relation to the proposed swimming categories</w:t>
        </w:r>
        <w:r w:rsidR="00611E4D">
          <w:rPr>
            <w:noProof/>
            <w:webHidden/>
          </w:rPr>
          <w:tab/>
        </w:r>
        <w:r w:rsidR="00611E4D">
          <w:rPr>
            <w:noProof/>
            <w:webHidden/>
          </w:rPr>
          <w:fldChar w:fldCharType="begin"/>
        </w:r>
        <w:r w:rsidR="00611E4D">
          <w:rPr>
            <w:noProof/>
            <w:webHidden/>
          </w:rPr>
          <w:instrText xml:space="preserve"> PAGEREF _Toc482112351 \h </w:instrText>
        </w:r>
        <w:r w:rsidR="00611E4D">
          <w:rPr>
            <w:noProof/>
            <w:webHidden/>
          </w:rPr>
        </w:r>
        <w:r w:rsidR="00611E4D">
          <w:rPr>
            <w:noProof/>
            <w:webHidden/>
          </w:rPr>
          <w:fldChar w:fldCharType="separate"/>
        </w:r>
        <w:r w:rsidR="00651447">
          <w:rPr>
            <w:noProof/>
            <w:webHidden/>
          </w:rPr>
          <w:t>12</w:t>
        </w:r>
        <w:r w:rsidR="00611E4D">
          <w:rPr>
            <w:noProof/>
            <w:webHidden/>
          </w:rPr>
          <w:fldChar w:fldCharType="end"/>
        </w:r>
      </w:hyperlink>
    </w:p>
    <w:p w:rsidR="00611E4D" w:rsidRDefault="00556111">
      <w:pPr>
        <w:pStyle w:val="TOC2"/>
        <w:rPr>
          <w:rFonts w:asciiTheme="minorHAnsi" w:hAnsiTheme="minorHAnsi"/>
          <w:noProof/>
        </w:rPr>
      </w:pPr>
      <w:hyperlink w:anchor="_Toc482112352" w:history="1">
        <w:r w:rsidR="00611E4D" w:rsidRPr="00D4418B">
          <w:rPr>
            <w:rStyle w:val="Hyperlink"/>
            <w:noProof/>
          </w:rPr>
          <w:t>An overview of how health risk is determined from the swimming categories</w:t>
        </w:r>
        <w:r w:rsidR="00611E4D">
          <w:rPr>
            <w:noProof/>
            <w:webHidden/>
          </w:rPr>
          <w:tab/>
        </w:r>
        <w:r w:rsidR="00611E4D">
          <w:rPr>
            <w:noProof/>
            <w:webHidden/>
          </w:rPr>
          <w:fldChar w:fldCharType="begin"/>
        </w:r>
        <w:r w:rsidR="00611E4D">
          <w:rPr>
            <w:noProof/>
            <w:webHidden/>
          </w:rPr>
          <w:instrText xml:space="preserve"> PAGEREF _Toc482112352 \h </w:instrText>
        </w:r>
        <w:r w:rsidR="00611E4D">
          <w:rPr>
            <w:noProof/>
            <w:webHidden/>
          </w:rPr>
        </w:r>
        <w:r w:rsidR="00611E4D">
          <w:rPr>
            <w:noProof/>
            <w:webHidden/>
          </w:rPr>
          <w:fldChar w:fldCharType="separate"/>
        </w:r>
        <w:r w:rsidR="00651447">
          <w:rPr>
            <w:noProof/>
            <w:webHidden/>
          </w:rPr>
          <w:t>12</w:t>
        </w:r>
        <w:r w:rsidR="00611E4D">
          <w:rPr>
            <w:noProof/>
            <w:webHidden/>
          </w:rPr>
          <w:fldChar w:fldCharType="end"/>
        </w:r>
      </w:hyperlink>
    </w:p>
    <w:p w:rsidR="00611E4D" w:rsidRDefault="00556111">
      <w:pPr>
        <w:pStyle w:val="TOC2"/>
        <w:rPr>
          <w:rFonts w:asciiTheme="minorHAnsi" w:hAnsiTheme="minorHAnsi"/>
          <w:noProof/>
        </w:rPr>
      </w:pPr>
      <w:hyperlink w:anchor="_Toc482112353" w:history="1">
        <w:r w:rsidR="00611E4D" w:rsidRPr="00D4418B">
          <w:rPr>
            <w:rStyle w:val="Hyperlink"/>
            <w:noProof/>
          </w:rPr>
          <w:t xml:space="preserve">The QMRA linking </w:t>
        </w:r>
        <w:r w:rsidR="00611E4D" w:rsidRPr="00D4418B">
          <w:rPr>
            <w:rStyle w:val="Hyperlink"/>
            <w:i/>
            <w:noProof/>
          </w:rPr>
          <w:t>E. coli</w:t>
        </w:r>
        <w:r w:rsidR="00611E4D" w:rsidRPr="00D4418B">
          <w:rPr>
            <w:rStyle w:val="Hyperlink"/>
            <w:noProof/>
          </w:rPr>
          <w:t xml:space="preserve"> and </w:t>
        </w:r>
        <w:r w:rsidR="00611E4D" w:rsidRPr="00D4418B">
          <w:rPr>
            <w:rStyle w:val="Hyperlink"/>
            <w:i/>
            <w:noProof/>
          </w:rPr>
          <w:t>Campylobacter</w:t>
        </w:r>
        <w:r w:rsidR="00611E4D">
          <w:rPr>
            <w:noProof/>
            <w:webHidden/>
          </w:rPr>
          <w:tab/>
        </w:r>
        <w:r w:rsidR="00611E4D">
          <w:rPr>
            <w:noProof/>
            <w:webHidden/>
          </w:rPr>
          <w:fldChar w:fldCharType="begin"/>
        </w:r>
        <w:r w:rsidR="00611E4D">
          <w:rPr>
            <w:noProof/>
            <w:webHidden/>
          </w:rPr>
          <w:instrText xml:space="preserve"> PAGEREF _Toc482112353 \h </w:instrText>
        </w:r>
        <w:r w:rsidR="00611E4D">
          <w:rPr>
            <w:noProof/>
            <w:webHidden/>
          </w:rPr>
        </w:r>
        <w:r w:rsidR="00611E4D">
          <w:rPr>
            <w:noProof/>
            <w:webHidden/>
          </w:rPr>
          <w:fldChar w:fldCharType="separate"/>
        </w:r>
        <w:r w:rsidR="00651447">
          <w:rPr>
            <w:noProof/>
            <w:webHidden/>
          </w:rPr>
          <w:t>12</w:t>
        </w:r>
        <w:r w:rsidR="00611E4D">
          <w:rPr>
            <w:noProof/>
            <w:webHidden/>
          </w:rPr>
          <w:fldChar w:fldCharType="end"/>
        </w:r>
      </w:hyperlink>
    </w:p>
    <w:p w:rsidR="00611E4D" w:rsidRDefault="00556111">
      <w:pPr>
        <w:pStyle w:val="TOC2"/>
        <w:rPr>
          <w:rFonts w:asciiTheme="minorHAnsi" w:hAnsiTheme="minorHAnsi"/>
          <w:noProof/>
        </w:rPr>
      </w:pPr>
      <w:hyperlink w:anchor="_Toc482112354" w:history="1">
        <w:r w:rsidR="00611E4D" w:rsidRPr="00D4418B">
          <w:rPr>
            <w:rStyle w:val="Hyperlink"/>
            <w:noProof/>
          </w:rPr>
          <w:t>Risk profiles of the swimming categories</w:t>
        </w:r>
        <w:r w:rsidR="00611E4D">
          <w:rPr>
            <w:noProof/>
            <w:webHidden/>
          </w:rPr>
          <w:tab/>
        </w:r>
        <w:r w:rsidR="00611E4D">
          <w:rPr>
            <w:noProof/>
            <w:webHidden/>
          </w:rPr>
          <w:fldChar w:fldCharType="begin"/>
        </w:r>
        <w:r w:rsidR="00611E4D">
          <w:rPr>
            <w:noProof/>
            <w:webHidden/>
          </w:rPr>
          <w:instrText xml:space="preserve"> PAGEREF _Toc482112354 \h </w:instrText>
        </w:r>
        <w:r w:rsidR="00611E4D">
          <w:rPr>
            <w:noProof/>
            <w:webHidden/>
          </w:rPr>
        </w:r>
        <w:r w:rsidR="00611E4D">
          <w:rPr>
            <w:noProof/>
            <w:webHidden/>
          </w:rPr>
          <w:fldChar w:fldCharType="separate"/>
        </w:r>
        <w:r w:rsidR="00651447">
          <w:rPr>
            <w:noProof/>
            <w:webHidden/>
          </w:rPr>
          <w:t>13</w:t>
        </w:r>
        <w:r w:rsidR="00611E4D">
          <w:rPr>
            <w:noProof/>
            <w:webHidden/>
          </w:rPr>
          <w:fldChar w:fldCharType="end"/>
        </w:r>
      </w:hyperlink>
    </w:p>
    <w:p w:rsidR="00611E4D" w:rsidRDefault="00556111">
      <w:pPr>
        <w:pStyle w:val="TOC2"/>
        <w:rPr>
          <w:rFonts w:asciiTheme="minorHAnsi" w:hAnsiTheme="minorHAnsi"/>
          <w:noProof/>
        </w:rPr>
      </w:pPr>
      <w:hyperlink w:anchor="_Toc482112355" w:history="1">
        <w:r w:rsidR="00611E4D" w:rsidRPr="00D4418B">
          <w:rPr>
            <w:rStyle w:val="Hyperlink"/>
            <w:noProof/>
          </w:rPr>
          <w:t>Other risk</w:t>
        </w:r>
        <w:r w:rsidR="00611E4D">
          <w:rPr>
            <w:noProof/>
            <w:webHidden/>
          </w:rPr>
          <w:tab/>
        </w:r>
        <w:r w:rsidR="00611E4D">
          <w:rPr>
            <w:noProof/>
            <w:webHidden/>
          </w:rPr>
          <w:fldChar w:fldCharType="begin"/>
        </w:r>
        <w:r w:rsidR="00611E4D">
          <w:rPr>
            <w:noProof/>
            <w:webHidden/>
          </w:rPr>
          <w:instrText xml:space="preserve"> PAGEREF _Toc482112355 \h </w:instrText>
        </w:r>
        <w:r w:rsidR="00611E4D">
          <w:rPr>
            <w:noProof/>
            <w:webHidden/>
          </w:rPr>
        </w:r>
        <w:r w:rsidR="00611E4D">
          <w:rPr>
            <w:noProof/>
            <w:webHidden/>
          </w:rPr>
          <w:fldChar w:fldCharType="separate"/>
        </w:r>
        <w:r w:rsidR="00651447">
          <w:rPr>
            <w:noProof/>
            <w:webHidden/>
          </w:rPr>
          <w:t>15</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56" w:history="1">
        <w:r w:rsidR="00611E4D" w:rsidRPr="00D4418B">
          <w:rPr>
            <w:rStyle w:val="Hyperlink"/>
            <w:noProof/>
          </w:rPr>
          <w:t>A comparison between the proposed categories and the existing categories</w:t>
        </w:r>
        <w:r w:rsidR="00611E4D">
          <w:rPr>
            <w:noProof/>
            <w:webHidden/>
          </w:rPr>
          <w:tab/>
        </w:r>
        <w:r w:rsidR="00611E4D">
          <w:rPr>
            <w:noProof/>
            <w:webHidden/>
          </w:rPr>
          <w:fldChar w:fldCharType="begin"/>
        </w:r>
        <w:r w:rsidR="00611E4D">
          <w:rPr>
            <w:noProof/>
            <w:webHidden/>
          </w:rPr>
          <w:instrText xml:space="preserve"> PAGEREF _Toc482112356 \h </w:instrText>
        </w:r>
        <w:r w:rsidR="00611E4D">
          <w:rPr>
            <w:noProof/>
            <w:webHidden/>
          </w:rPr>
        </w:r>
        <w:r w:rsidR="00611E4D">
          <w:rPr>
            <w:noProof/>
            <w:webHidden/>
          </w:rPr>
          <w:fldChar w:fldCharType="separate"/>
        </w:r>
        <w:r w:rsidR="00651447">
          <w:rPr>
            <w:noProof/>
            <w:webHidden/>
          </w:rPr>
          <w:t>16</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57" w:history="1">
        <w:r w:rsidR="00611E4D" w:rsidRPr="00D4418B">
          <w:rPr>
            <w:rStyle w:val="Hyperlink"/>
            <w:noProof/>
          </w:rPr>
          <w:t>A comparison between the proposed categories and overseas regimes</w:t>
        </w:r>
        <w:r w:rsidR="00611E4D">
          <w:rPr>
            <w:noProof/>
            <w:webHidden/>
          </w:rPr>
          <w:tab/>
        </w:r>
        <w:r w:rsidR="00611E4D">
          <w:rPr>
            <w:noProof/>
            <w:webHidden/>
          </w:rPr>
          <w:fldChar w:fldCharType="begin"/>
        </w:r>
        <w:r w:rsidR="00611E4D">
          <w:rPr>
            <w:noProof/>
            <w:webHidden/>
          </w:rPr>
          <w:instrText xml:space="preserve"> PAGEREF _Toc482112357 \h </w:instrText>
        </w:r>
        <w:r w:rsidR="00611E4D">
          <w:rPr>
            <w:noProof/>
            <w:webHidden/>
          </w:rPr>
        </w:r>
        <w:r w:rsidR="00611E4D">
          <w:rPr>
            <w:noProof/>
            <w:webHidden/>
          </w:rPr>
          <w:fldChar w:fldCharType="separate"/>
        </w:r>
        <w:r w:rsidR="00651447">
          <w:rPr>
            <w:noProof/>
            <w:webHidden/>
          </w:rPr>
          <w:t>18</w:t>
        </w:r>
        <w:r w:rsidR="00611E4D">
          <w:rPr>
            <w:noProof/>
            <w:webHidden/>
          </w:rPr>
          <w:fldChar w:fldCharType="end"/>
        </w:r>
      </w:hyperlink>
    </w:p>
    <w:p w:rsidR="00611E4D" w:rsidRDefault="00556111">
      <w:pPr>
        <w:pStyle w:val="TOC2"/>
        <w:rPr>
          <w:rFonts w:asciiTheme="minorHAnsi" w:hAnsiTheme="minorHAnsi"/>
          <w:noProof/>
        </w:rPr>
      </w:pPr>
      <w:hyperlink w:anchor="_Toc482112358" w:history="1">
        <w:r w:rsidR="00611E4D" w:rsidRPr="00D4418B">
          <w:rPr>
            <w:rStyle w:val="Hyperlink"/>
            <w:noProof/>
          </w:rPr>
          <w:t>Limitations of international comparisons</w:t>
        </w:r>
        <w:r w:rsidR="00611E4D">
          <w:rPr>
            <w:noProof/>
            <w:webHidden/>
          </w:rPr>
          <w:tab/>
        </w:r>
        <w:r w:rsidR="00611E4D">
          <w:rPr>
            <w:noProof/>
            <w:webHidden/>
          </w:rPr>
          <w:fldChar w:fldCharType="begin"/>
        </w:r>
        <w:r w:rsidR="00611E4D">
          <w:rPr>
            <w:noProof/>
            <w:webHidden/>
          </w:rPr>
          <w:instrText xml:space="preserve"> PAGEREF _Toc482112358 \h </w:instrText>
        </w:r>
        <w:r w:rsidR="00611E4D">
          <w:rPr>
            <w:noProof/>
            <w:webHidden/>
          </w:rPr>
        </w:r>
        <w:r w:rsidR="00611E4D">
          <w:rPr>
            <w:noProof/>
            <w:webHidden/>
          </w:rPr>
          <w:fldChar w:fldCharType="separate"/>
        </w:r>
        <w:r w:rsidR="00651447">
          <w:rPr>
            <w:noProof/>
            <w:webHidden/>
          </w:rPr>
          <w:t>18</w:t>
        </w:r>
        <w:r w:rsidR="00611E4D">
          <w:rPr>
            <w:noProof/>
            <w:webHidden/>
          </w:rPr>
          <w:fldChar w:fldCharType="end"/>
        </w:r>
      </w:hyperlink>
    </w:p>
    <w:p w:rsidR="00611E4D" w:rsidRDefault="00556111">
      <w:pPr>
        <w:pStyle w:val="TOC2"/>
        <w:rPr>
          <w:rFonts w:asciiTheme="minorHAnsi" w:hAnsiTheme="minorHAnsi"/>
          <w:noProof/>
        </w:rPr>
      </w:pPr>
      <w:hyperlink w:anchor="_Toc482112359" w:history="1">
        <w:r w:rsidR="00611E4D" w:rsidRPr="00D4418B">
          <w:rPr>
            <w:rStyle w:val="Hyperlink"/>
            <w:noProof/>
          </w:rPr>
          <w:t>European Union</w:t>
        </w:r>
        <w:r w:rsidR="00611E4D">
          <w:rPr>
            <w:noProof/>
            <w:webHidden/>
          </w:rPr>
          <w:tab/>
        </w:r>
        <w:r w:rsidR="00611E4D">
          <w:rPr>
            <w:noProof/>
            <w:webHidden/>
          </w:rPr>
          <w:fldChar w:fldCharType="begin"/>
        </w:r>
        <w:r w:rsidR="00611E4D">
          <w:rPr>
            <w:noProof/>
            <w:webHidden/>
          </w:rPr>
          <w:instrText xml:space="preserve"> PAGEREF _Toc482112359 \h </w:instrText>
        </w:r>
        <w:r w:rsidR="00611E4D">
          <w:rPr>
            <w:noProof/>
            <w:webHidden/>
          </w:rPr>
        </w:r>
        <w:r w:rsidR="00611E4D">
          <w:rPr>
            <w:noProof/>
            <w:webHidden/>
          </w:rPr>
          <w:fldChar w:fldCharType="separate"/>
        </w:r>
        <w:r w:rsidR="00651447">
          <w:rPr>
            <w:noProof/>
            <w:webHidden/>
          </w:rPr>
          <w:t>18</w:t>
        </w:r>
        <w:r w:rsidR="00611E4D">
          <w:rPr>
            <w:noProof/>
            <w:webHidden/>
          </w:rPr>
          <w:fldChar w:fldCharType="end"/>
        </w:r>
      </w:hyperlink>
    </w:p>
    <w:p w:rsidR="00611E4D" w:rsidRDefault="00556111">
      <w:pPr>
        <w:pStyle w:val="TOC2"/>
        <w:rPr>
          <w:rFonts w:asciiTheme="minorHAnsi" w:hAnsiTheme="minorHAnsi"/>
          <w:noProof/>
        </w:rPr>
      </w:pPr>
      <w:hyperlink w:anchor="_Toc482112360" w:history="1">
        <w:r w:rsidR="00611E4D" w:rsidRPr="00D4418B">
          <w:rPr>
            <w:rStyle w:val="Hyperlink"/>
            <w:noProof/>
          </w:rPr>
          <w:t>United States of America</w:t>
        </w:r>
        <w:r w:rsidR="00611E4D">
          <w:rPr>
            <w:noProof/>
            <w:webHidden/>
          </w:rPr>
          <w:tab/>
        </w:r>
        <w:r w:rsidR="00611E4D">
          <w:rPr>
            <w:noProof/>
            <w:webHidden/>
          </w:rPr>
          <w:fldChar w:fldCharType="begin"/>
        </w:r>
        <w:r w:rsidR="00611E4D">
          <w:rPr>
            <w:noProof/>
            <w:webHidden/>
          </w:rPr>
          <w:instrText xml:space="preserve"> PAGEREF _Toc482112360 \h </w:instrText>
        </w:r>
        <w:r w:rsidR="00611E4D">
          <w:rPr>
            <w:noProof/>
            <w:webHidden/>
          </w:rPr>
        </w:r>
        <w:r w:rsidR="00611E4D">
          <w:rPr>
            <w:noProof/>
            <w:webHidden/>
          </w:rPr>
          <w:fldChar w:fldCharType="separate"/>
        </w:r>
        <w:r w:rsidR="00651447">
          <w:rPr>
            <w:noProof/>
            <w:webHidden/>
          </w:rPr>
          <w:t>19</w:t>
        </w:r>
        <w:r w:rsidR="00611E4D">
          <w:rPr>
            <w:noProof/>
            <w:webHidden/>
          </w:rPr>
          <w:fldChar w:fldCharType="end"/>
        </w:r>
      </w:hyperlink>
    </w:p>
    <w:p w:rsidR="00611E4D" w:rsidRDefault="00556111">
      <w:pPr>
        <w:pStyle w:val="TOC1"/>
        <w:tabs>
          <w:tab w:val="right" w:pos="9016"/>
        </w:tabs>
        <w:rPr>
          <w:rFonts w:asciiTheme="minorHAnsi" w:hAnsiTheme="minorHAnsi"/>
          <w:noProof/>
        </w:rPr>
      </w:pPr>
      <w:hyperlink w:anchor="_Toc482112361" w:history="1">
        <w:r w:rsidR="00611E4D" w:rsidRPr="00D4418B">
          <w:rPr>
            <w:rStyle w:val="Hyperlink"/>
            <w:noProof/>
          </w:rPr>
          <w:t>References</w:t>
        </w:r>
        <w:r w:rsidR="00611E4D">
          <w:rPr>
            <w:noProof/>
            <w:webHidden/>
          </w:rPr>
          <w:tab/>
        </w:r>
        <w:r w:rsidR="00611E4D">
          <w:rPr>
            <w:noProof/>
            <w:webHidden/>
          </w:rPr>
          <w:fldChar w:fldCharType="begin"/>
        </w:r>
        <w:r w:rsidR="00611E4D">
          <w:rPr>
            <w:noProof/>
            <w:webHidden/>
          </w:rPr>
          <w:instrText xml:space="preserve"> PAGEREF _Toc482112361 \h </w:instrText>
        </w:r>
        <w:r w:rsidR="00611E4D">
          <w:rPr>
            <w:noProof/>
            <w:webHidden/>
          </w:rPr>
        </w:r>
        <w:r w:rsidR="00611E4D">
          <w:rPr>
            <w:noProof/>
            <w:webHidden/>
          </w:rPr>
          <w:fldChar w:fldCharType="separate"/>
        </w:r>
        <w:r w:rsidR="00651447">
          <w:rPr>
            <w:noProof/>
            <w:webHidden/>
          </w:rPr>
          <w:t>20</w:t>
        </w:r>
        <w:r w:rsidR="00611E4D">
          <w:rPr>
            <w:noProof/>
            <w:webHidden/>
          </w:rPr>
          <w:fldChar w:fldCharType="end"/>
        </w:r>
      </w:hyperlink>
    </w:p>
    <w:p w:rsidR="00D31034" w:rsidRPr="00D31034" w:rsidRDefault="00D31034" w:rsidP="00D31034">
      <w:pPr>
        <w:pStyle w:val="BodyText"/>
      </w:pPr>
      <w:r w:rsidRPr="00751274">
        <w:fldChar w:fldCharType="end"/>
      </w:r>
    </w:p>
    <w:p w:rsidR="00D31034" w:rsidRDefault="00D31034">
      <w:pPr>
        <w:spacing w:before="0" w:after="0" w:line="240" w:lineRule="auto"/>
        <w:jc w:val="left"/>
        <w:rPr>
          <w:rFonts w:asciiTheme="minorHAnsi" w:eastAsiaTheme="majorEastAsia" w:hAnsiTheme="minorHAnsi" w:cstheme="majorBidi"/>
          <w:b/>
          <w:bCs/>
          <w:color w:val="1C556C"/>
          <w:sz w:val="56"/>
          <w:szCs w:val="56"/>
        </w:rPr>
      </w:pPr>
      <w:r>
        <w:br w:type="page"/>
      </w:r>
    </w:p>
    <w:p w:rsidR="000C76CF" w:rsidRDefault="000C76CF" w:rsidP="00262001">
      <w:pPr>
        <w:pStyle w:val="Heading1"/>
      </w:pPr>
      <w:bookmarkStart w:id="3" w:name="_Toc482112343"/>
      <w:r>
        <w:lastRenderedPageBreak/>
        <w:t>Introduction</w:t>
      </w:r>
      <w:bookmarkEnd w:id="0"/>
      <w:bookmarkEnd w:id="3"/>
    </w:p>
    <w:p w:rsidR="000C76CF" w:rsidRPr="00452F37" w:rsidRDefault="000C76CF" w:rsidP="00452F37">
      <w:pPr>
        <w:pStyle w:val="BodyText"/>
      </w:pPr>
      <w:r w:rsidRPr="00452F37">
        <w:t xml:space="preserve">This report </w:t>
      </w:r>
      <w:r w:rsidR="007174E7" w:rsidRPr="00452F37">
        <w:t xml:space="preserve">provides information </w:t>
      </w:r>
      <w:r w:rsidR="00A40902">
        <w:t>on</w:t>
      </w:r>
      <w:r w:rsidR="00A40902" w:rsidRPr="00452F37">
        <w:t xml:space="preserve"> </w:t>
      </w:r>
      <w:r w:rsidR="007174E7" w:rsidRPr="00452F37">
        <w:t xml:space="preserve">the </w:t>
      </w:r>
      <w:r w:rsidR="0049204C" w:rsidRPr="00452F37">
        <w:t xml:space="preserve">categories used in the </w:t>
      </w:r>
      <w:r w:rsidR="007174E7" w:rsidRPr="00452F37">
        <w:t>swimming maps</w:t>
      </w:r>
      <w:r w:rsidR="0049204C" w:rsidRPr="00452F37">
        <w:t>,</w:t>
      </w:r>
      <w:r w:rsidR="007174E7" w:rsidRPr="00452F37">
        <w:t xml:space="preserve"> </w:t>
      </w:r>
      <w:r w:rsidR="0049204C" w:rsidRPr="00452F37">
        <w:t xml:space="preserve">proposed </w:t>
      </w:r>
      <w:r w:rsidR="007174E7" w:rsidRPr="00452F37">
        <w:t>targets</w:t>
      </w:r>
      <w:r w:rsidR="0049204C" w:rsidRPr="00452F37">
        <w:t>, and proposed amendments to the National Policy Statement for Freshwater Management</w:t>
      </w:r>
      <w:r w:rsidR="007174E7" w:rsidRPr="00452F37">
        <w:t xml:space="preserve"> released as part of the Government’s Clean Water package in February 2017.</w:t>
      </w:r>
    </w:p>
    <w:p w:rsidR="007174E7" w:rsidRPr="00452F37" w:rsidRDefault="00A40902" w:rsidP="00452F37">
      <w:pPr>
        <w:pStyle w:val="BodyText"/>
      </w:pPr>
      <w:r>
        <w:t>This</w:t>
      </w:r>
      <w:r w:rsidR="006C3152" w:rsidRPr="00452F37">
        <w:t xml:space="preserve"> report </w:t>
      </w:r>
      <w:r w:rsidR="00014045" w:rsidRPr="00452F37">
        <w:t>explain</w:t>
      </w:r>
      <w:r>
        <w:t>s</w:t>
      </w:r>
      <w:r w:rsidR="00014045" w:rsidRPr="00452F37">
        <w:t xml:space="preserve"> what the proposed categories mean </w:t>
      </w:r>
      <w:r w:rsidR="00A06D7F" w:rsidRPr="00452F37">
        <w:t>for people’s risk of getting sick when they swim, and explain</w:t>
      </w:r>
      <w:r>
        <w:t>s</w:t>
      </w:r>
      <w:r w:rsidR="00A06D7F" w:rsidRPr="00452F37">
        <w:t xml:space="preserve"> how the proposed </w:t>
      </w:r>
      <w:r w:rsidR="00AB2804" w:rsidRPr="00452F37">
        <w:t xml:space="preserve">categories compare to existing </w:t>
      </w:r>
      <w:r>
        <w:t>categories</w:t>
      </w:r>
      <w:r w:rsidR="00AB2804" w:rsidRPr="00452F37">
        <w:t xml:space="preserve"> that are used to manage water quality for swimming, both in New Zealand and overseas.</w:t>
      </w:r>
      <w:r w:rsidR="00841D4C">
        <w:t xml:space="preserve"> </w:t>
      </w:r>
      <w:r w:rsidR="007174E7" w:rsidRPr="00452F37">
        <w:t>It includes</w:t>
      </w:r>
      <w:r w:rsidR="00E145B5" w:rsidRPr="00452F37">
        <w:t xml:space="preserve"> information on</w:t>
      </w:r>
      <w:r w:rsidR="007174E7" w:rsidRPr="00452F37">
        <w:t>:</w:t>
      </w:r>
    </w:p>
    <w:p w:rsidR="00E145B5" w:rsidRDefault="007174E7" w:rsidP="00267374">
      <w:pPr>
        <w:pStyle w:val="Bullet"/>
        <w:keepLines w:val="0"/>
        <w:numPr>
          <w:ilvl w:val="0"/>
          <w:numId w:val="11"/>
        </w:numPr>
        <w:tabs>
          <w:tab w:val="left" w:pos="397"/>
        </w:tabs>
        <w:spacing w:before="0" w:line="280" w:lineRule="exact"/>
        <w:ind w:left="397" w:hanging="397"/>
        <w:jc w:val="left"/>
      </w:pPr>
      <w:r>
        <w:t xml:space="preserve">the </w:t>
      </w:r>
      <w:r w:rsidRPr="00985014">
        <w:rPr>
          <w:i/>
        </w:rPr>
        <w:t>status quo</w:t>
      </w:r>
      <w:r>
        <w:t xml:space="preserve">, including </w:t>
      </w:r>
      <w:r w:rsidR="00E145B5">
        <w:t xml:space="preserve">how health risks from swimming are currently managed, and </w:t>
      </w:r>
      <w:r w:rsidR="0032673D">
        <w:t xml:space="preserve">the </w:t>
      </w:r>
      <w:r w:rsidR="00E145B5">
        <w:t xml:space="preserve">background </w:t>
      </w:r>
      <w:r w:rsidR="00E145B5" w:rsidRPr="00267374">
        <w:rPr>
          <w:rFonts w:eastAsia="Times New Roman" w:cs="Times New Roman"/>
          <w:szCs w:val="20"/>
        </w:rPr>
        <w:t>behind</w:t>
      </w:r>
      <w:r w:rsidR="00E145B5">
        <w:t xml:space="preserve"> the </w:t>
      </w:r>
      <w:r w:rsidR="00755C53">
        <w:t xml:space="preserve">new </w:t>
      </w:r>
      <w:r w:rsidR="0032673D">
        <w:t xml:space="preserve">swimming </w:t>
      </w:r>
      <w:r w:rsidR="00755C53">
        <w:t>maps and proposed targets</w:t>
      </w:r>
    </w:p>
    <w:p w:rsidR="00E145B5" w:rsidRDefault="00E145B5" w:rsidP="00267374">
      <w:pPr>
        <w:pStyle w:val="Bullet"/>
        <w:keepLines w:val="0"/>
        <w:numPr>
          <w:ilvl w:val="0"/>
          <w:numId w:val="11"/>
        </w:numPr>
        <w:tabs>
          <w:tab w:val="left" w:pos="397"/>
        </w:tabs>
        <w:spacing w:before="0" w:line="280" w:lineRule="exact"/>
        <w:ind w:left="397" w:hanging="397"/>
        <w:jc w:val="left"/>
      </w:pPr>
      <w:r>
        <w:t>the proposed categories and how the thresholds are derived</w:t>
      </w:r>
      <w:r w:rsidR="00755C53">
        <w:t xml:space="preserve"> </w:t>
      </w:r>
    </w:p>
    <w:p w:rsidR="007174E7" w:rsidRDefault="00755C53" w:rsidP="00267374">
      <w:pPr>
        <w:pStyle w:val="Bullet"/>
        <w:keepLines w:val="0"/>
        <w:numPr>
          <w:ilvl w:val="0"/>
          <w:numId w:val="11"/>
        </w:numPr>
        <w:tabs>
          <w:tab w:val="left" w:pos="397"/>
        </w:tabs>
        <w:spacing w:before="0" w:line="280" w:lineRule="exact"/>
        <w:ind w:left="397" w:hanging="397"/>
        <w:jc w:val="left"/>
      </w:pPr>
      <w:r>
        <w:t xml:space="preserve">risk </w:t>
      </w:r>
      <w:r w:rsidRPr="00267374">
        <w:rPr>
          <w:rFonts w:eastAsia="Times New Roman" w:cs="Times New Roman"/>
          <w:szCs w:val="20"/>
        </w:rPr>
        <w:t>profiles</w:t>
      </w:r>
      <w:r>
        <w:t xml:space="preserve"> </w:t>
      </w:r>
      <w:r w:rsidR="0032673D">
        <w:t>for</w:t>
      </w:r>
      <w:r>
        <w:t xml:space="preserve"> the proposed categories, and what that means for people’s risk of swimming in New Zealand rivers</w:t>
      </w:r>
    </w:p>
    <w:p w:rsidR="00755C53" w:rsidRDefault="00755C53" w:rsidP="00267374">
      <w:pPr>
        <w:pStyle w:val="Bullet"/>
        <w:keepLines w:val="0"/>
        <w:numPr>
          <w:ilvl w:val="0"/>
          <w:numId w:val="11"/>
        </w:numPr>
        <w:tabs>
          <w:tab w:val="left" w:pos="397"/>
        </w:tabs>
        <w:spacing w:before="0" w:line="280" w:lineRule="exact"/>
        <w:ind w:left="397" w:hanging="397"/>
        <w:jc w:val="left"/>
      </w:pPr>
      <w:r w:rsidRPr="00267374">
        <w:rPr>
          <w:rFonts w:eastAsia="Times New Roman" w:cs="Times New Roman"/>
          <w:szCs w:val="20"/>
        </w:rPr>
        <w:t>comparisons</w:t>
      </w:r>
      <w:r>
        <w:t xml:space="preserve"> between the proposed categories and the existing </w:t>
      </w:r>
      <w:r w:rsidR="0032673D">
        <w:t>categories</w:t>
      </w:r>
      <w:r>
        <w:t>, and comparisons between the proposed categories and other countries’ systems</w:t>
      </w:r>
      <w:r w:rsidR="000655DA">
        <w:t>.</w:t>
      </w:r>
    </w:p>
    <w:p w:rsidR="0049204C" w:rsidRPr="00452F37" w:rsidRDefault="0049204C" w:rsidP="00452F37">
      <w:pPr>
        <w:pStyle w:val="BodyText"/>
      </w:pPr>
      <w:r w:rsidRPr="00452F37">
        <w:t xml:space="preserve">This report should be read alongside the consultation document </w:t>
      </w:r>
      <w:hyperlink r:id="rId17" w:history="1">
        <w:r w:rsidRPr="008C3788">
          <w:rPr>
            <w:rStyle w:val="Hyperlink"/>
          </w:rPr>
          <w:t>Clean water: 90% of rivers and lakes swimmable by 2040</w:t>
        </w:r>
      </w:hyperlink>
      <w:r w:rsidRPr="00452F37">
        <w:t xml:space="preserve"> which sets out the full range of proposals</w:t>
      </w:r>
      <w:r w:rsidR="000D4390" w:rsidRPr="00452F37">
        <w:t xml:space="preserve">. </w:t>
      </w:r>
      <w:r w:rsidR="00985014">
        <w:t>F</w:t>
      </w:r>
      <w:r w:rsidR="000D4390" w:rsidRPr="00452F37">
        <w:t xml:space="preserve">inal decisions </w:t>
      </w:r>
      <w:r w:rsidR="00985014">
        <w:t xml:space="preserve">on the proposals </w:t>
      </w:r>
      <w:r w:rsidR="000D4390" w:rsidRPr="00452F37">
        <w:t>will be made taking into account feedback we receive during the consultation. The proposals, including the categories, could change as a result of that feedback.</w:t>
      </w:r>
    </w:p>
    <w:p w:rsidR="00B13FD4" w:rsidRPr="00A30750" w:rsidRDefault="00B13FD4" w:rsidP="00A30750">
      <w:pPr>
        <w:pStyle w:val="BodyText"/>
      </w:pPr>
      <w:r>
        <w:br w:type="page"/>
      </w:r>
    </w:p>
    <w:p w:rsidR="00B13FD4" w:rsidRDefault="00B13FD4" w:rsidP="00B13FD4">
      <w:pPr>
        <w:pStyle w:val="Heading1"/>
      </w:pPr>
      <w:bookmarkStart w:id="4" w:name="_Toc479073449"/>
      <w:bookmarkStart w:id="5" w:name="_Toc482112344"/>
      <w:r>
        <w:lastRenderedPageBreak/>
        <w:t>Background</w:t>
      </w:r>
      <w:bookmarkEnd w:id="4"/>
      <w:bookmarkEnd w:id="5"/>
    </w:p>
    <w:p w:rsidR="0018549A" w:rsidRPr="00262001" w:rsidRDefault="0018549A" w:rsidP="00262001">
      <w:pPr>
        <w:pStyle w:val="Heading2"/>
      </w:pPr>
      <w:bookmarkStart w:id="6" w:name="_Toc479073450"/>
      <w:bookmarkStart w:id="7" w:name="_Toc482112345"/>
      <w:r w:rsidRPr="00262001">
        <w:t xml:space="preserve">How health risks from swimming </w:t>
      </w:r>
      <w:r w:rsidR="00435EB1" w:rsidRPr="00262001">
        <w:t>are currently measured and managed</w:t>
      </w:r>
      <w:bookmarkEnd w:id="6"/>
      <w:bookmarkEnd w:id="7"/>
    </w:p>
    <w:p w:rsidR="00116A6C" w:rsidRDefault="00302D1B" w:rsidP="00262001">
      <w:pPr>
        <w:pStyle w:val="Heading3"/>
      </w:pPr>
      <w:bookmarkStart w:id="8" w:name="_Toc479073451"/>
      <w:r>
        <w:t>P</w:t>
      </w:r>
      <w:r w:rsidR="00116A6C">
        <w:t>athogens</w:t>
      </w:r>
      <w:r w:rsidR="008759FD">
        <w:t xml:space="preserve"> in fresh water</w:t>
      </w:r>
      <w:bookmarkEnd w:id="8"/>
    </w:p>
    <w:p w:rsidR="00E063BC" w:rsidRPr="008C3788" w:rsidRDefault="00E063BC" w:rsidP="008C3788">
      <w:pPr>
        <w:pStyle w:val="BodyText"/>
      </w:pPr>
      <w:r w:rsidRPr="008C3788">
        <w:t xml:space="preserve">Microbial pathogens </w:t>
      </w:r>
      <w:r w:rsidR="00AE1EB3" w:rsidRPr="008C3788">
        <w:t xml:space="preserve">are </w:t>
      </w:r>
      <w:r w:rsidR="00A13F97" w:rsidRPr="008C3788">
        <w:t>micro</w:t>
      </w:r>
      <w:r w:rsidR="00AE1EB3" w:rsidRPr="008C3788">
        <w:t>bes</w:t>
      </w:r>
      <w:r w:rsidR="00A13F97" w:rsidRPr="008C3788">
        <w:t xml:space="preserve"> such as bacteria, viruses and </w:t>
      </w:r>
      <w:r w:rsidR="00AE1EB3" w:rsidRPr="008C3788">
        <w:t>protozoa that can cause illness. Microbial pathogens</w:t>
      </w:r>
      <w:r w:rsidR="00A13F97" w:rsidRPr="008C3788">
        <w:t xml:space="preserve"> </w:t>
      </w:r>
      <w:r w:rsidRPr="008C3788">
        <w:t xml:space="preserve">in the water can enter the body </w:t>
      </w:r>
      <w:r w:rsidR="000F4839" w:rsidRPr="008C3788">
        <w:t xml:space="preserve">when </w:t>
      </w:r>
      <w:r w:rsidR="00A30750">
        <w:t>water</w:t>
      </w:r>
      <w:r w:rsidR="000F4839" w:rsidRPr="008C3788">
        <w:t xml:space="preserve"> is swallowed</w:t>
      </w:r>
      <w:r w:rsidRPr="008C3788">
        <w:t>, or through the ears, nasal passages, mucous membranes or cuts in the skin</w:t>
      </w:r>
      <w:r w:rsidR="00134525" w:rsidRPr="008C3788">
        <w:t xml:space="preserve">. They </w:t>
      </w:r>
      <w:r w:rsidRPr="008C3788">
        <w:t>can cause gastrointestinal illness, respiratory symptoms, or more harmful diseases like hepatitis A.</w:t>
      </w:r>
    </w:p>
    <w:p w:rsidR="00116A6C" w:rsidRPr="008C3788" w:rsidRDefault="00E063BC" w:rsidP="008C3788">
      <w:pPr>
        <w:pStyle w:val="BodyText"/>
      </w:pPr>
      <w:r w:rsidRPr="008C3788">
        <w:t xml:space="preserve">Microbial pathogens </w:t>
      </w:r>
      <w:r w:rsidR="003D2794" w:rsidRPr="008C3788">
        <w:t xml:space="preserve">in fresh water </w:t>
      </w:r>
      <w:r w:rsidRPr="008C3788">
        <w:t>primarily come from f</w:t>
      </w:r>
      <w:r w:rsidR="00116A6C" w:rsidRPr="008C3788">
        <w:t>aecal contamination</w:t>
      </w:r>
      <w:r w:rsidRPr="008C3788">
        <w:t>.</w:t>
      </w:r>
      <w:r w:rsidR="00116A6C" w:rsidRPr="008C3788">
        <w:t xml:space="preserve"> </w:t>
      </w:r>
      <w:r w:rsidRPr="008C3788">
        <w:t xml:space="preserve">Faecal contamination </w:t>
      </w:r>
      <w:r w:rsidR="00116A6C" w:rsidRPr="008C3788">
        <w:t xml:space="preserve">from animals can occur </w:t>
      </w:r>
      <w:r w:rsidR="005E537B">
        <w:t>through</w:t>
      </w:r>
      <w:r w:rsidR="005E537B" w:rsidRPr="008C3788">
        <w:t xml:space="preserve"> </w:t>
      </w:r>
      <w:r w:rsidR="00116A6C" w:rsidRPr="008C3788">
        <w:t xml:space="preserve">runoff from farms during rainfall events, or if animals have direct access to waterways. Human faecal contamination of waterways can occur </w:t>
      </w:r>
      <w:r w:rsidR="000C4D0F" w:rsidRPr="008C3788">
        <w:t xml:space="preserve">if </w:t>
      </w:r>
      <w:r w:rsidR="00116A6C" w:rsidRPr="008C3788">
        <w:t>poorly treated sewage or septic tank systems</w:t>
      </w:r>
      <w:r w:rsidR="000C4D0F" w:rsidRPr="008C3788">
        <w:t xml:space="preserve"> </w:t>
      </w:r>
      <w:r w:rsidR="005E537B">
        <w:t>are</w:t>
      </w:r>
      <w:r w:rsidR="005E537B" w:rsidRPr="008C3788">
        <w:t xml:space="preserve"> </w:t>
      </w:r>
      <w:r w:rsidR="000C4D0F" w:rsidRPr="008C3788">
        <w:t>discharged (directly or indirectly) to water</w:t>
      </w:r>
      <w:r w:rsidR="00116A6C" w:rsidRPr="008C3788">
        <w:t xml:space="preserve">, or during heavy rain when sewerage systems overflow into stormwater systems. </w:t>
      </w:r>
    </w:p>
    <w:p w:rsidR="00980E10" w:rsidRPr="008C3788" w:rsidRDefault="00980E10" w:rsidP="008C3788">
      <w:pPr>
        <w:pStyle w:val="BodyText"/>
      </w:pPr>
      <w:r w:rsidRPr="00DC13A0">
        <w:rPr>
          <w:i/>
        </w:rPr>
        <w:t>Campylobacter</w:t>
      </w:r>
      <w:r w:rsidRPr="008C3788">
        <w:t xml:space="preserve"> </w:t>
      </w:r>
      <w:r w:rsidR="002773F9" w:rsidRPr="008C3788">
        <w:t xml:space="preserve">(a </w:t>
      </w:r>
      <w:r w:rsidR="004C1503" w:rsidRPr="008C3788">
        <w:t xml:space="preserve">type of </w:t>
      </w:r>
      <w:r w:rsidR="002773F9" w:rsidRPr="008C3788">
        <w:t xml:space="preserve">bacteria that can cause gastrointestinal illness) </w:t>
      </w:r>
      <w:r w:rsidRPr="008C3788">
        <w:t xml:space="preserve">and </w:t>
      </w:r>
      <w:r w:rsidR="00302D1B">
        <w:t>noro</w:t>
      </w:r>
      <w:r w:rsidR="00302D1B" w:rsidRPr="008C3788">
        <w:t xml:space="preserve">viruses </w:t>
      </w:r>
      <w:r w:rsidR="002773F9" w:rsidRPr="008C3788">
        <w:t xml:space="preserve">(a </w:t>
      </w:r>
      <w:r w:rsidR="00623C73" w:rsidRPr="008C3788">
        <w:t>group of viruses that can cause gastrointestinal illness) are the pathogens most likely to cause people to become sick from swimming</w:t>
      </w:r>
      <w:r w:rsidR="0012219A">
        <w:t xml:space="preserve"> (</w:t>
      </w:r>
      <w:r w:rsidR="00D44A18">
        <w:t xml:space="preserve">McBride </w:t>
      </w:r>
      <w:r w:rsidR="0012219A">
        <w:t>et al, 2002)</w:t>
      </w:r>
      <w:r w:rsidR="00623C73" w:rsidRPr="008C3788">
        <w:t xml:space="preserve">. </w:t>
      </w:r>
    </w:p>
    <w:p w:rsidR="000F777D" w:rsidRDefault="000F777D" w:rsidP="00262001">
      <w:pPr>
        <w:pStyle w:val="Heading3"/>
      </w:pPr>
      <w:bookmarkStart w:id="9" w:name="_Toc479073452"/>
      <w:r>
        <w:t xml:space="preserve">The use of </w:t>
      </w:r>
      <w:r w:rsidR="00CA4FEA" w:rsidRPr="00CA4FEA">
        <w:rPr>
          <w:i/>
        </w:rPr>
        <w:t>E.</w:t>
      </w:r>
      <w:r w:rsidR="007A355D">
        <w:rPr>
          <w:i/>
        </w:rPr>
        <w:t xml:space="preserve"> </w:t>
      </w:r>
      <w:r w:rsidR="00CA4FEA" w:rsidRPr="00CA4FEA">
        <w:rPr>
          <w:i/>
        </w:rPr>
        <w:t>coli</w:t>
      </w:r>
      <w:r>
        <w:t xml:space="preserve"> for monitoring human health risk</w:t>
      </w:r>
      <w:bookmarkEnd w:id="9"/>
    </w:p>
    <w:p w:rsidR="00A43CF9" w:rsidRPr="008C3788" w:rsidRDefault="00A43CF9" w:rsidP="008C3788">
      <w:pPr>
        <w:pStyle w:val="BodyText"/>
      </w:pPr>
      <w:r w:rsidRPr="008C3788">
        <w:t>It is difficult to detect pathogens</w:t>
      </w:r>
      <w:r w:rsidR="00570040" w:rsidRPr="008C3788">
        <w:t xml:space="preserve"> </w:t>
      </w:r>
      <w:r w:rsidRPr="008C3788">
        <w:t xml:space="preserve">in water samples obtained from </w:t>
      </w:r>
      <w:r w:rsidR="00570040" w:rsidRPr="008C3788">
        <w:t>freshwater</w:t>
      </w:r>
      <w:r w:rsidRPr="008C3788">
        <w:t xml:space="preserve"> sites. Methods for detecting and identifying viruses or parasites are either very difficult </w:t>
      </w:r>
      <w:r w:rsidR="00FD4BFF">
        <w:t>and/or expensive</w:t>
      </w:r>
      <w:r w:rsidRPr="008C3788">
        <w:t>. Bacterial pathogens can be detected, but their nutritional requirements</w:t>
      </w:r>
      <w:r w:rsidR="00FD4BFF">
        <w:t>,</w:t>
      </w:r>
      <w:r w:rsidRPr="008C3788">
        <w:t xml:space="preserve"> susceptibility to environmental stresses</w:t>
      </w:r>
      <w:r w:rsidR="00FD4BFF">
        <w:t>, and sporadic presence</w:t>
      </w:r>
      <w:r w:rsidRPr="008C3788">
        <w:t xml:space="preserve"> can make the task very difficult. </w:t>
      </w:r>
      <w:r w:rsidR="00023C12" w:rsidRPr="008C3788">
        <w:t>Because of this, the main approach for assessing the presence of pathogens is to use ‘indicator organisms’</w:t>
      </w:r>
      <w:r w:rsidR="0022023C">
        <w:t xml:space="preserve"> –</w:t>
      </w:r>
      <w:r w:rsidR="0022023C" w:rsidRPr="008C3788">
        <w:t xml:space="preserve"> </w:t>
      </w:r>
      <w:r w:rsidR="00023C12" w:rsidRPr="008C3788">
        <w:t xml:space="preserve">organisms whose presence in the water is an indication </w:t>
      </w:r>
      <w:r w:rsidR="00FD4BFF">
        <w:t xml:space="preserve">of faecal contamination and therefore the potential </w:t>
      </w:r>
      <w:r w:rsidR="00023C12" w:rsidRPr="008C3788">
        <w:t>that other pathogens might be present.</w:t>
      </w:r>
    </w:p>
    <w:p w:rsidR="00FC1DCA" w:rsidRPr="008C3788" w:rsidRDefault="00387921" w:rsidP="008C3788">
      <w:pPr>
        <w:pStyle w:val="BodyText"/>
      </w:pPr>
      <w:r w:rsidRPr="0022023C">
        <w:rPr>
          <w:i/>
        </w:rPr>
        <w:t>Escherichia coli</w:t>
      </w:r>
      <w:r w:rsidRPr="008C3788">
        <w:t xml:space="preserve"> (</w:t>
      </w:r>
      <w:r w:rsidRPr="00413D25">
        <w:rPr>
          <w:i/>
        </w:rPr>
        <w:t>E. coli</w:t>
      </w:r>
      <w:r w:rsidRPr="008C3788">
        <w:t xml:space="preserve">) is a bacteria commonly found in the gut of warm blooded organisms. </w:t>
      </w:r>
      <w:r w:rsidRPr="00413D25">
        <w:rPr>
          <w:i/>
        </w:rPr>
        <w:t>E. coli</w:t>
      </w:r>
      <w:r w:rsidRPr="008C3788">
        <w:t xml:space="preserve"> survives outside the body </w:t>
      </w:r>
      <w:r w:rsidR="00D2038B" w:rsidRPr="008C3788">
        <w:t xml:space="preserve">and can survive for up to four to six weeks in fresh water </w:t>
      </w:r>
      <w:r w:rsidRPr="008C3788">
        <w:t xml:space="preserve">making it a useful indicator of faecal presence and therefore of disease-causing organisms that may be present in faecal matter. </w:t>
      </w:r>
      <w:r w:rsidR="00CA4FEA" w:rsidRPr="00413D25">
        <w:rPr>
          <w:i/>
        </w:rPr>
        <w:t>E.</w:t>
      </w:r>
      <w:r w:rsidR="007A355D">
        <w:rPr>
          <w:i/>
        </w:rPr>
        <w:t xml:space="preserve"> </w:t>
      </w:r>
      <w:r w:rsidR="00CA4FEA" w:rsidRPr="00413D25">
        <w:rPr>
          <w:i/>
        </w:rPr>
        <w:t>coli</w:t>
      </w:r>
      <w:r w:rsidR="007C4533" w:rsidRPr="008C3788">
        <w:t xml:space="preserve"> is relatively straightforward and inexpensive to measure. </w:t>
      </w:r>
    </w:p>
    <w:p w:rsidR="001058F2" w:rsidRPr="008C3788" w:rsidRDefault="001058F2" w:rsidP="008C3788">
      <w:pPr>
        <w:pStyle w:val="BodyText"/>
        <w:rPr>
          <w:rStyle w:val="hyperlinkChar"/>
          <w:b w:val="0"/>
        </w:rPr>
      </w:pPr>
      <w:r w:rsidRPr="008C3788">
        <w:t xml:space="preserve">The thresholds </w:t>
      </w:r>
      <w:r w:rsidR="004953D5" w:rsidRPr="008C3788">
        <w:t xml:space="preserve">of what has been considered </w:t>
      </w:r>
      <w:r w:rsidR="008D5CD3" w:rsidRPr="008C3788">
        <w:t>an acceptable</w:t>
      </w:r>
      <w:r w:rsidR="004953D5" w:rsidRPr="008C3788">
        <w:t xml:space="preserve"> level of </w:t>
      </w:r>
      <w:r w:rsidR="00413D25">
        <w:rPr>
          <w:i/>
        </w:rPr>
        <w:t xml:space="preserve">E </w:t>
      </w:r>
      <w:r w:rsidR="00CA4FEA" w:rsidRPr="00413D25">
        <w:rPr>
          <w:i/>
        </w:rPr>
        <w:t>coli</w:t>
      </w:r>
      <w:r w:rsidR="004953D5" w:rsidRPr="008C3788">
        <w:t xml:space="preserve"> (discussed throughout this document) are based on a ‘quantitative </w:t>
      </w:r>
      <w:r w:rsidR="00C547E7">
        <w:t xml:space="preserve">microbial </w:t>
      </w:r>
      <w:r w:rsidR="004953D5" w:rsidRPr="008C3788">
        <w:t xml:space="preserve">health risk assessment’ (QMRA) that assessed what the corresponding risk of </w:t>
      </w:r>
      <w:r w:rsidR="004953D5" w:rsidRPr="00DC13A0">
        <w:rPr>
          <w:i/>
        </w:rPr>
        <w:t>Campylobacter</w:t>
      </w:r>
      <w:r w:rsidR="004953D5" w:rsidRPr="008C3788">
        <w:t xml:space="preserve"> </w:t>
      </w:r>
      <w:r w:rsidR="003D2794" w:rsidRPr="008C3788">
        <w:t xml:space="preserve">infection </w:t>
      </w:r>
      <w:r w:rsidR="004953D5" w:rsidRPr="008C3788">
        <w:t xml:space="preserve">would be for different concentrations of </w:t>
      </w:r>
      <w:r w:rsidR="00C547E7">
        <w:br/>
      </w:r>
      <w:r w:rsidR="00CA4FEA" w:rsidRPr="00413D25">
        <w:rPr>
          <w:i/>
        </w:rPr>
        <w:t>E.</w:t>
      </w:r>
      <w:r w:rsidR="00413D25" w:rsidRPr="00413D25">
        <w:rPr>
          <w:i/>
        </w:rPr>
        <w:t xml:space="preserve"> </w:t>
      </w:r>
      <w:r w:rsidR="00CA4FEA" w:rsidRPr="00413D25">
        <w:rPr>
          <w:i/>
        </w:rPr>
        <w:t>coli</w:t>
      </w:r>
      <w:r w:rsidR="004953D5" w:rsidRPr="008C3788">
        <w:t>.</w:t>
      </w:r>
      <w:r w:rsidR="00F23297" w:rsidRPr="008C3788">
        <w:t xml:space="preserve"> You can read more about the risk assessment in the chapter on</w:t>
      </w:r>
      <w:r w:rsidR="00001194" w:rsidRPr="008C3788">
        <w:t xml:space="preserve"> </w:t>
      </w:r>
      <w:hyperlink w:anchor="_Risk_in_relation" w:history="1">
        <w:r w:rsidR="00001194" w:rsidRPr="008B54C8">
          <w:rPr>
            <w:rStyle w:val="Hyperlink"/>
          </w:rPr>
          <w:t>risk in relation to the swimming categories</w:t>
        </w:r>
      </w:hyperlink>
      <w:r w:rsidR="006D54EA" w:rsidRPr="008C3788">
        <w:t>.</w:t>
      </w:r>
    </w:p>
    <w:p w:rsidR="000F777D" w:rsidRDefault="000F777D" w:rsidP="00262001">
      <w:pPr>
        <w:pStyle w:val="Heading3"/>
      </w:pPr>
      <w:bookmarkStart w:id="10" w:name="_Toc479073453"/>
      <w:r>
        <w:t xml:space="preserve">The 2003 </w:t>
      </w:r>
      <w:r w:rsidRPr="003625A5">
        <w:t>recreational water</w:t>
      </w:r>
      <w:r>
        <w:t xml:space="preserve"> quality guidelines</w:t>
      </w:r>
      <w:bookmarkEnd w:id="10"/>
    </w:p>
    <w:p w:rsidR="003849AD" w:rsidRPr="00413D25" w:rsidRDefault="003D2794" w:rsidP="00413D25">
      <w:pPr>
        <w:pStyle w:val="BodyText"/>
      </w:pPr>
      <w:r w:rsidRPr="00413D25">
        <w:t>In 2003 the Ministry of Health and Ministry for the Environment released</w:t>
      </w:r>
      <w:r w:rsidR="004F71AD" w:rsidRPr="00413D25">
        <w:t xml:space="preserve"> the</w:t>
      </w:r>
      <w:r w:rsidR="00A43CF9" w:rsidRPr="00413D25">
        <w:t xml:space="preserve"> </w:t>
      </w:r>
      <w:hyperlink r:id="rId18" w:history="1">
        <w:r w:rsidR="004F71AD" w:rsidRPr="00413D25">
          <w:rPr>
            <w:rStyle w:val="Hyperlink"/>
          </w:rPr>
          <w:t>Microbiological water quality guidelines for marine and freshwater recreational areas</w:t>
        </w:r>
      </w:hyperlink>
      <w:r w:rsidR="00A43CF9" w:rsidRPr="00413D25">
        <w:t xml:space="preserve">. They are still used, and they use </w:t>
      </w:r>
      <w:r w:rsidR="00C547E7">
        <w:br/>
      </w:r>
      <w:r w:rsidR="00CA4FEA" w:rsidRPr="00A252B6">
        <w:rPr>
          <w:i/>
        </w:rPr>
        <w:t>E.</w:t>
      </w:r>
      <w:r w:rsidR="007A355D" w:rsidRPr="00A252B6">
        <w:rPr>
          <w:i/>
        </w:rPr>
        <w:t xml:space="preserve"> </w:t>
      </w:r>
      <w:r w:rsidR="00CA4FEA" w:rsidRPr="00A252B6">
        <w:rPr>
          <w:i/>
        </w:rPr>
        <w:t>coli</w:t>
      </w:r>
      <w:r w:rsidR="00A43CF9" w:rsidRPr="00413D25">
        <w:t xml:space="preserve"> as an indicator of the risk of </w:t>
      </w:r>
      <w:r w:rsidR="00A43CF9" w:rsidRPr="00DC13A0">
        <w:rPr>
          <w:i/>
        </w:rPr>
        <w:t>Campylobacter</w:t>
      </w:r>
      <w:r w:rsidR="00A43CF9" w:rsidRPr="00413D25">
        <w:t xml:space="preserve"> infection. </w:t>
      </w:r>
    </w:p>
    <w:p w:rsidR="00F23297" w:rsidRPr="00413D25" w:rsidRDefault="00F23297" w:rsidP="00413D25">
      <w:pPr>
        <w:pStyle w:val="BodyText"/>
      </w:pPr>
      <w:r w:rsidRPr="00413D25">
        <w:lastRenderedPageBreak/>
        <w:t>The guidelines have two components, covering short</w:t>
      </w:r>
      <w:r w:rsidR="00461A44">
        <w:t>-</w:t>
      </w:r>
      <w:r w:rsidRPr="00413D25">
        <w:t>term and long</w:t>
      </w:r>
      <w:r w:rsidR="00461A44">
        <w:t>-</w:t>
      </w:r>
      <w:r w:rsidRPr="00413D25">
        <w:t>term considerations:</w:t>
      </w:r>
    </w:p>
    <w:p w:rsidR="00F23297" w:rsidRDefault="00461A44" w:rsidP="00413D25">
      <w:pPr>
        <w:pStyle w:val="Bullet"/>
        <w:keepLines w:val="0"/>
        <w:numPr>
          <w:ilvl w:val="0"/>
          <w:numId w:val="9"/>
        </w:numPr>
        <w:tabs>
          <w:tab w:val="left" w:pos="397"/>
        </w:tabs>
        <w:spacing w:before="0" w:line="280" w:lineRule="exact"/>
        <w:ind w:left="397" w:hanging="397"/>
        <w:jc w:val="left"/>
      </w:pPr>
      <w:r>
        <w:rPr>
          <w:rFonts w:eastAsia="Times New Roman" w:cs="Times New Roman"/>
          <w:szCs w:val="20"/>
        </w:rPr>
        <w:t>s</w:t>
      </w:r>
      <w:r w:rsidRPr="00413D25">
        <w:rPr>
          <w:rFonts w:eastAsia="Times New Roman" w:cs="Times New Roman"/>
          <w:szCs w:val="20"/>
        </w:rPr>
        <w:t>urveillance</w:t>
      </w:r>
      <w:r>
        <w:t xml:space="preserve"> </w:t>
      </w:r>
      <w:r w:rsidR="00F23297">
        <w:t xml:space="preserve">involves using recent data to determine if an immediate problem exists that requires attention (eg, an unexpected spike in </w:t>
      </w:r>
      <w:r w:rsidR="00CA4FEA" w:rsidRPr="00CA4FEA">
        <w:rPr>
          <w:i/>
        </w:rPr>
        <w:t>E.</w:t>
      </w:r>
      <w:r w:rsidR="007A355D">
        <w:rPr>
          <w:i/>
        </w:rPr>
        <w:t xml:space="preserve"> </w:t>
      </w:r>
      <w:r w:rsidR="00CA4FEA" w:rsidRPr="00CA4FEA">
        <w:rPr>
          <w:i/>
        </w:rPr>
        <w:t>coli</w:t>
      </w:r>
      <w:r w:rsidR="00F23297">
        <w:t xml:space="preserve"> levels due to wastewater overflows)</w:t>
      </w:r>
    </w:p>
    <w:p w:rsidR="00F23297" w:rsidRDefault="00461A44" w:rsidP="00413D25">
      <w:pPr>
        <w:pStyle w:val="Bullet"/>
        <w:keepLines w:val="0"/>
        <w:numPr>
          <w:ilvl w:val="0"/>
          <w:numId w:val="9"/>
        </w:numPr>
        <w:tabs>
          <w:tab w:val="left" w:pos="397"/>
        </w:tabs>
        <w:spacing w:before="0" w:line="280" w:lineRule="exact"/>
        <w:ind w:left="397" w:hanging="397"/>
        <w:jc w:val="left"/>
      </w:pPr>
      <w:r>
        <w:t xml:space="preserve">grading </w:t>
      </w:r>
      <w:r w:rsidR="00F23297" w:rsidRPr="00413D25">
        <w:rPr>
          <w:rFonts w:eastAsia="Times New Roman" w:cs="Times New Roman"/>
          <w:szCs w:val="20"/>
        </w:rPr>
        <w:t>involves</w:t>
      </w:r>
      <w:r w:rsidR="00F23297">
        <w:t xml:space="preserve"> assessing the general conditions over time, </w:t>
      </w:r>
      <w:r w:rsidR="000375F8">
        <w:t>so an overall assessment can be made about how likely the site is to be suitable for swimming in the longer term.</w:t>
      </w:r>
    </w:p>
    <w:p w:rsidR="00133291" w:rsidRDefault="000375F8" w:rsidP="00A43CF9">
      <w:pPr>
        <w:pStyle w:val="BodyText"/>
        <w:rPr>
          <w:rStyle w:val="hyperlinkChar"/>
          <w:b w:val="0"/>
        </w:rPr>
      </w:pPr>
      <w:r w:rsidRPr="000375F8">
        <w:rPr>
          <w:rStyle w:val="hyperlinkChar"/>
          <w:b w:val="0"/>
        </w:rPr>
        <w:t xml:space="preserve">If surveillance data indicates a problem </w:t>
      </w:r>
      <w:r w:rsidR="002005E5">
        <w:rPr>
          <w:rStyle w:val="hyperlinkChar"/>
          <w:b w:val="0"/>
        </w:rPr>
        <w:t>the guidelines advise that increased sampling should</w:t>
      </w:r>
      <w:r w:rsidRPr="000375F8">
        <w:rPr>
          <w:rStyle w:val="hyperlinkChar"/>
          <w:b w:val="0"/>
        </w:rPr>
        <w:t xml:space="preserve"> </w:t>
      </w:r>
      <w:r w:rsidR="002005E5">
        <w:rPr>
          <w:rStyle w:val="hyperlinkChar"/>
          <w:b w:val="0"/>
        </w:rPr>
        <w:t>be undertaken,</w:t>
      </w:r>
      <w:r w:rsidRPr="000375F8">
        <w:rPr>
          <w:rStyle w:val="hyperlinkChar"/>
          <w:b w:val="0"/>
        </w:rPr>
        <w:t xml:space="preserve"> and public advisories (ie, warning signs at </w:t>
      </w:r>
      <w:r w:rsidR="003D2794">
        <w:rPr>
          <w:rStyle w:val="hyperlinkChar"/>
          <w:b w:val="0"/>
        </w:rPr>
        <w:t xml:space="preserve">popular </w:t>
      </w:r>
      <w:r w:rsidRPr="000375F8">
        <w:rPr>
          <w:rStyle w:val="hyperlinkChar"/>
          <w:b w:val="0"/>
        </w:rPr>
        <w:t>swimming spots)</w:t>
      </w:r>
      <w:r w:rsidR="002005E5">
        <w:rPr>
          <w:rStyle w:val="hyperlinkChar"/>
          <w:b w:val="0"/>
        </w:rPr>
        <w:t xml:space="preserve"> issued</w:t>
      </w:r>
      <w:r w:rsidRPr="000375F8">
        <w:rPr>
          <w:rStyle w:val="hyperlinkChar"/>
          <w:b w:val="0"/>
        </w:rPr>
        <w:t>.</w:t>
      </w:r>
    </w:p>
    <w:p w:rsidR="008C3FDE" w:rsidRDefault="00607F39" w:rsidP="00A43CF9">
      <w:pPr>
        <w:pStyle w:val="BodyText"/>
        <w:rPr>
          <w:rStyle w:val="hyperlinkChar"/>
          <w:b w:val="0"/>
        </w:rPr>
      </w:pPr>
      <w:r>
        <w:rPr>
          <w:rStyle w:val="hyperlinkChar"/>
          <w:b w:val="0"/>
        </w:rPr>
        <w:t xml:space="preserve">The </w:t>
      </w:r>
      <w:r w:rsidR="002209C0">
        <w:rPr>
          <w:rStyle w:val="hyperlinkChar"/>
          <w:b w:val="0"/>
        </w:rPr>
        <w:t>long</w:t>
      </w:r>
      <w:r w:rsidR="00461A44">
        <w:rPr>
          <w:rStyle w:val="hyperlinkChar"/>
          <w:b w:val="0"/>
        </w:rPr>
        <w:t>-</w:t>
      </w:r>
      <w:r w:rsidR="002209C0">
        <w:rPr>
          <w:rStyle w:val="hyperlinkChar"/>
          <w:b w:val="0"/>
        </w:rPr>
        <w:t xml:space="preserve">term </w:t>
      </w:r>
      <w:r>
        <w:rPr>
          <w:rStyle w:val="hyperlinkChar"/>
          <w:b w:val="0"/>
        </w:rPr>
        <w:t>grading is based on the combination of</w:t>
      </w:r>
      <w:r w:rsidR="008C3FDE">
        <w:rPr>
          <w:rStyle w:val="hyperlinkChar"/>
          <w:b w:val="0"/>
        </w:rPr>
        <w:t>:</w:t>
      </w:r>
      <w:r>
        <w:rPr>
          <w:rStyle w:val="hyperlinkChar"/>
          <w:b w:val="0"/>
        </w:rPr>
        <w:t xml:space="preserve"> </w:t>
      </w:r>
    </w:p>
    <w:p w:rsidR="00607F39" w:rsidRPr="002209C0" w:rsidRDefault="00607F39" w:rsidP="00267374">
      <w:pPr>
        <w:pStyle w:val="Bullet"/>
        <w:keepLines w:val="0"/>
        <w:numPr>
          <w:ilvl w:val="0"/>
          <w:numId w:val="17"/>
        </w:numPr>
        <w:tabs>
          <w:tab w:val="left" w:pos="397"/>
        </w:tabs>
        <w:spacing w:before="0" w:line="280" w:lineRule="exact"/>
        <w:ind w:left="397" w:hanging="397"/>
        <w:jc w:val="left"/>
        <w:rPr>
          <w:rStyle w:val="hyperlinkChar"/>
        </w:rPr>
      </w:pPr>
      <w:r>
        <w:rPr>
          <w:rStyle w:val="hyperlinkChar"/>
          <w:b w:val="0"/>
        </w:rPr>
        <w:t xml:space="preserve">a </w:t>
      </w:r>
      <w:r w:rsidRPr="00267374">
        <w:rPr>
          <w:rFonts w:eastAsia="Times New Roman" w:cs="Times New Roman"/>
          <w:szCs w:val="20"/>
        </w:rPr>
        <w:t>Microbiol</w:t>
      </w:r>
      <w:r w:rsidR="008C3FDE" w:rsidRPr="00267374">
        <w:rPr>
          <w:rFonts w:eastAsia="Times New Roman" w:cs="Times New Roman"/>
          <w:szCs w:val="20"/>
        </w:rPr>
        <w:t>ogical</w:t>
      </w:r>
      <w:r w:rsidR="008C3FDE">
        <w:rPr>
          <w:rStyle w:val="hyperlinkChar"/>
          <w:b w:val="0"/>
        </w:rPr>
        <w:t xml:space="preserve"> Assessment Category (a category based on </w:t>
      </w:r>
      <w:r w:rsidR="00CA4FEA" w:rsidRPr="00CA4FEA">
        <w:rPr>
          <w:rStyle w:val="hyperlinkChar"/>
          <w:b w:val="0"/>
          <w:i/>
        </w:rPr>
        <w:t>E.</w:t>
      </w:r>
      <w:r w:rsidR="007A355D">
        <w:rPr>
          <w:rStyle w:val="hyperlinkChar"/>
          <w:b w:val="0"/>
          <w:i/>
        </w:rPr>
        <w:t xml:space="preserve"> </w:t>
      </w:r>
      <w:r w:rsidR="00CA4FEA" w:rsidRPr="00CA4FEA">
        <w:rPr>
          <w:rStyle w:val="hyperlinkChar"/>
          <w:b w:val="0"/>
          <w:i/>
        </w:rPr>
        <w:t>coli</w:t>
      </w:r>
      <w:r w:rsidR="008C3FDE">
        <w:rPr>
          <w:rStyle w:val="hyperlinkChar"/>
          <w:b w:val="0"/>
        </w:rPr>
        <w:t xml:space="preserve"> monitoring data, with bands from A to D</w:t>
      </w:r>
      <w:r w:rsidR="006A0F48" w:rsidRPr="006A0F48">
        <w:rPr>
          <w:rStyle w:val="hyperlinkChar"/>
          <w:b w:val="0"/>
        </w:rPr>
        <w:t>, with A being the best state and D the worst</w:t>
      </w:r>
      <w:r w:rsidR="008C3FDE">
        <w:rPr>
          <w:rStyle w:val="hyperlinkChar"/>
          <w:b w:val="0"/>
        </w:rPr>
        <w:t>)</w:t>
      </w:r>
    </w:p>
    <w:p w:rsidR="002209C0" w:rsidRPr="002209C0" w:rsidRDefault="002209C0" w:rsidP="00267374">
      <w:pPr>
        <w:pStyle w:val="Bullet"/>
        <w:keepLines w:val="0"/>
        <w:numPr>
          <w:ilvl w:val="0"/>
          <w:numId w:val="17"/>
        </w:numPr>
        <w:tabs>
          <w:tab w:val="left" w:pos="397"/>
        </w:tabs>
        <w:spacing w:before="0" w:line="280" w:lineRule="exact"/>
        <w:ind w:left="397" w:hanging="397"/>
        <w:jc w:val="left"/>
        <w:rPr>
          <w:rStyle w:val="hyperlinkChar"/>
        </w:rPr>
      </w:pPr>
      <w:r>
        <w:rPr>
          <w:rStyle w:val="hyperlinkChar"/>
          <w:b w:val="0"/>
        </w:rPr>
        <w:t xml:space="preserve">a </w:t>
      </w:r>
      <w:r w:rsidRPr="002209C0">
        <w:rPr>
          <w:rStyle w:val="hyperlinkChar"/>
          <w:b w:val="0"/>
        </w:rPr>
        <w:t>Sanitary Inspection Category</w:t>
      </w:r>
      <w:r>
        <w:rPr>
          <w:rStyle w:val="hyperlinkChar"/>
          <w:b w:val="0"/>
        </w:rPr>
        <w:t xml:space="preserve"> (a category based on identifying the </w:t>
      </w:r>
      <w:r w:rsidR="002005E5">
        <w:rPr>
          <w:rStyle w:val="hyperlinkChar"/>
          <w:b w:val="0"/>
        </w:rPr>
        <w:t xml:space="preserve">likely </w:t>
      </w:r>
      <w:r>
        <w:rPr>
          <w:rStyle w:val="hyperlinkChar"/>
          <w:b w:val="0"/>
        </w:rPr>
        <w:t>source</w:t>
      </w:r>
      <w:r w:rsidR="002005E5">
        <w:rPr>
          <w:rStyle w:val="hyperlinkChar"/>
          <w:b w:val="0"/>
        </w:rPr>
        <w:t>s</w:t>
      </w:r>
      <w:r>
        <w:rPr>
          <w:rStyle w:val="hyperlinkChar"/>
          <w:b w:val="0"/>
        </w:rPr>
        <w:t xml:space="preserve"> of faecal contamination and assessing the risk </w:t>
      </w:r>
      <w:r w:rsidR="002005E5">
        <w:rPr>
          <w:rStyle w:val="hyperlinkChar"/>
          <w:b w:val="0"/>
        </w:rPr>
        <w:t xml:space="preserve">they </w:t>
      </w:r>
      <w:r>
        <w:rPr>
          <w:rStyle w:val="hyperlinkChar"/>
          <w:b w:val="0"/>
        </w:rPr>
        <w:t>pose).</w:t>
      </w:r>
    </w:p>
    <w:p w:rsidR="002209C0" w:rsidRPr="00267374" w:rsidRDefault="002209C0" w:rsidP="00267374">
      <w:pPr>
        <w:jc w:val="left"/>
      </w:pPr>
      <w:r w:rsidRPr="00267374">
        <w:t xml:space="preserve">The Microbiological Assessment Category and the Sanitary Inspection Category combine to give the site an overall Suitability </w:t>
      </w:r>
      <w:r w:rsidR="00461A44">
        <w:t>f</w:t>
      </w:r>
      <w:r w:rsidR="00461A44" w:rsidRPr="00267374">
        <w:t xml:space="preserve">or </w:t>
      </w:r>
      <w:r w:rsidRPr="00267374">
        <w:t>Recreation Grade ranging from ‘very good’ to ‘very poor’.</w:t>
      </w:r>
    </w:p>
    <w:p w:rsidR="003D2794" w:rsidRPr="00267374" w:rsidRDefault="003D2794" w:rsidP="00267374">
      <w:pPr>
        <w:jc w:val="left"/>
      </w:pPr>
      <w:r w:rsidRPr="00267374">
        <w:t xml:space="preserve">The thresholds in the surveillance requirements </w:t>
      </w:r>
      <w:r w:rsidR="00463F8E" w:rsidRPr="00267374">
        <w:t xml:space="preserve">set a standard for what is considered ‘suitable’ or ‘not suitable’ for swimming. Action is taken in response to surveillance measurements if a set of thresholds or standards is exceeded: if concentrations exceed 550 </w:t>
      </w:r>
      <w:r w:rsidR="00463F8E" w:rsidRPr="0009326C">
        <w:rPr>
          <w:i/>
        </w:rPr>
        <w:t>E. coli</w:t>
      </w:r>
      <w:r w:rsidR="00463F8E" w:rsidRPr="00267374">
        <w:t xml:space="preserve"> per 100 ml, regional councils </w:t>
      </w:r>
      <w:r w:rsidR="00DE22A8" w:rsidRPr="00267374">
        <w:t xml:space="preserve">are advised to </w:t>
      </w:r>
      <w:r w:rsidR="00463F8E" w:rsidRPr="00267374">
        <w:t>put signs up to alert the public of the immediate health risk.</w:t>
      </w:r>
    </w:p>
    <w:p w:rsidR="00262D77" w:rsidRDefault="008759FD" w:rsidP="00267374">
      <w:pPr>
        <w:pStyle w:val="Heading3"/>
      </w:pPr>
      <w:bookmarkStart w:id="11" w:name="_Toc479073455"/>
      <w:r>
        <w:t>The Freshwater NPS – setting objectives for water quality</w:t>
      </w:r>
      <w:bookmarkEnd w:id="11"/>
    </w:p>
    <w:p w:rsidR="00892F47" w:rsidRDefault="008759FD" w:rsidP="00267374">
      <w:pPr>
        <w:jc w:val="left"/>
      </w:pPr>
      <w:r>
        <w:t>In 2011</w:t>
      </w:r>
      <w:r w:rsidR="007C3200">
        <w:t>,</w:t>
      </w:r>
      <w:r>
        <w:t xml:space="preserve"> the Government introduced the </w:t>
      </w:r>
      <w:hyperlink r:id="rId19" w:history="1">
        <w:r w:rsidRPr="00267374">
          <w:rPr>
            <w:rStyle w:val="Hyperlink"/>
            <w:rFonts w:asciiTheme="minorHAnsi" w:hAnsiTheme="minorHAnsi"/>
          </w:rPr>
          <w:t>National Policy Statement (NPS) for Freshwater Management</w:t>
        </w:r>
      </w:hyperlink>
      <w:r>
        <w:t xml:space="preserve">. </w:t>
      </w:r>
      <w:r w:rsidR="0027570A">
        <w:t>It requires councils to set freshwater objectives describing the intended state/outcomes for water bodies, as limits and methods to achieve them.</w:t>
      </w:r>
    </w:p>
    <w:p w:rsidR="0027570A" w:rsidRDefault="0027570A" w:rsidP="00267374">
      <w:pPr>
        <w:jc w:val="left"/>
      </w:pPr>
      <w:r>
        <w:t xml:space="preserve">In 2014, the NPS </w:t>
      </w:r>
      <w:r w:rsidR="00081F31">
        <w:t xml:space="preserve">was amended to include two compulsory values (ecosystem </w:t>
      </w:r>
      <w:r w:rsidR="00CC0BC8">
        <w:t>he</w:t>
      </w:r>
      <w:r w:rsidR="00081F31">
        <w:t xml:space="preserve">alth and human health for recreation). A set of attributes with national bottom lines was adopted for these two values. </w:t>
      </w:r>
      <w:r w:rsidR="00CA4FEA" w:rsidRPr="0009326C">
        <w:rPr>
          <w:i/>
        </w:rPr>
        <w:t>E.</w:t>
      </w:r>
      <w:r w:rsidR="007A355D" w:rsidRPr="0009326C">
        <w:rPr>
          <w:i/>
        </w:rPr>
        <w:t xml:space="preserve"> </w:t>
      </w:r>
      <w:r w:rsidR="00CA4FEA" w:rsidRPr="0009326C">
        <w:rPr>
          <w:i/>
        </w:rPr>
        <w:t>col</w:t>
      </w:r>
      <w:r w:rsidR="00CA4FEA" w:rsidRPr="00AE27C7">
        <w:rPr>
          <w:i/>
        </w:rPr>
        <w:t>i</w:t>
      </w:r>
      <w:r>
        <w:t xml:space="preserve"> </w:t>
      </w:r>
      <w:r w:rsidR="009F56FC">
        <w:t xml:space="preserve">is one of the </w:t>
      </w:r>
      <w:r w:rsidR="002363E3">
        <w:t xml:space="preserve">attributes for human health </w:t>
      </w:r>
      <w:r w:rsidR="002363E3" w:rsidRPr="007C3200">
        <w:t>for recreation</w:t>
      </w:r>
      <w:r w:rsidRPr="007C3200">
        <w:t xml:space="preserve">. This meant councils were required to set freshwater objectives for the level of </w:t>
      </w:r>
      <w:r w:rsidR="00CA4FEA" w:rsidRPr="007C3200">
        <w:rPr>
          <w:i/>
        </w:rPr>
        <w:t>E.</w:t>
      </w:r>
      <w:r w:rsidR="007A355D" w:rsidRPr="007C3200">
        <w:rPr>
          <w:i/>
        </w:rPr>
        <w:t xml:space="preserve"> </w:t>
      </w:r>
      <w:r w:rsidR="00CA4FEA" w:rsidRPr="007C3200">
        <w:rPr>
          <w:i/>
        </w:rPr>
        <w:t>coli</w:t>
      </w:r>
      <w:r w:rsidRPr="007C3200">
        <w:t xml:space="preserve"> </w:t>
      </w:r>
      <w:r>
        <w:t>that was acceptable to the community</w:t>
      </w:r>
      <w:r w:rsidR="002363E3">
        <w:t xml:space="preserve">. This objective could not be set below the </w:t>
      </w:r>
      <w:r>
        <w:t xml:space="preserve">‘national bottom line’ </w:t>
      </w:r>
      <w:r w:rsidR="003261CC">
        <w:t>of 1000</w:t>
      </w:r>
      <w:r w:rsidR="003261CC" w:rsidRPr="00267374">
        <w:t xml:space="preserve"> </w:t>
      </w:r>
      <w:r w:rsidR="003261CC" w:rsidRPr="0009326C">
        <w:rPr>
          <w:i/>
        </w:rPr>
        <w:t>E. col</w:t>
      </w:r>
      <w:r w:rsidR="003261CC" w:rsidRPr="00267374">
        <w:t>i</w:t>
      </w:r>
      <w:r w:rsidR="003261CC">
        <w:t xml:space="preserve"> per 100 ml (measured as an annual median). </w:t>
      </w:r>
    </w:p>
    <w:p w:rsidR="0027570A" w:rsidRDefault="0027570A" w:rsidP="00DD4142">
      <w:pPr>
        <w:jc w:val="left"/>
      </w:pPr>
      <w:r>
        <w:t xml:space="preserve">In </w:t>
      </w:r>
      <w:r w:rsidR="003261CC">
        <w:t xml:space="preserve">February </w:t>
      </w:r>
      <w:r>
        <w:t>2017</w:t>
      </w:r>
      <w:r w:rsidR="003261CC">
        <w:t>,</w:t>
      </w:r>
      <w:r>
        <w:t xml:space="preserve"> </w:t>
      </w:r>
      <w:r w:rsidR="003261CC">
        <w:t xml:space="preserve">the Government proposed </w:t>
      </w:r>
      <w:r>
        <w:t xml:space="preserve">further changes to the NPS provisions on </w:t>
      </w:r>
      <w:r w:rsidR="00CA4FEA" w:rsidRPr="0009326C">
        <w:rPr>
          <w:i/>
        </w:rPr>
        <w:t>E.</w:t>
      </w:r>
      <w:r w:rsidR="007A355D" w:rsidRPr="0009326C">
        <w:rPr>
          <w:i/>
        </w:rPr>
        <w:t xml:space="preserve"> </w:t>
      </w:r>
      <w:r w:rsidR="00CA4FEA" w:rsidRPr="0009326C">
        <w:rPr>
          <w:i/>
        </w:rPr>
        <w:t>coli</w:t>
      </w:r>
      <w:r>
        <w:t xml:space="preserve">. In the chapter on </w:t>
      </w:r>
      <w:hyperlink w:anchor="_A_comparison_between" w:history="1">
        <w:r w:rsidR="00001194" w:rsidRPr="003225DB">
          <w:rPr>
            <w:rStyle w:val="Hyperlink"/>
          </w:rPr>
          <w:t xml:space="preserve">a comparison between the proposed categories and the existing </w:t>
        </w:r>
        <w:r w:rsidR="003225DB" w:rsidRPr="003225DB">
          <w:rPr>
            <w:rStyle w:val="Hyperlink"/>
          </w:rPr>
          <w:t>categories</w:t>
        </w:r>
      </w:hyperlink>
      <w:r w:rsidR="003225DB">
        <w:t xml:space="preserve"> </w:t>
      </w:r>
      <w:r>
        <w:t xml:space="preserve">you can find out more about </w:t>
      </w:r>
      <w:r w:rsidR="00570040">
        <w:t xml:space="preserve">how </w:t>
      </w:r>
      <w:r w:rsidR="00CA4FEA" w:rsidRPr="00DD4142">
        <w:rPr>
          <w:i/>
        </w:rPr>
        <w:t>E.</w:t>
      </w:r>
      <w:r w:rsidR="00DD4142">
        <w:rPr>
          <w:i/>
        </w:rPr>
        <w:t xml:space="preserve"> </w:t>
      </w:r>
      <w:r w:rsidR="00CA4FEA" w:rsidRPr="00DD4142">
        <w:rPr>
          <w:i/>
        </w:rPr>
        <w:t>coli</w:t>
      </w:r>
      <w:r w:rsidR="00570040">
        <w:t xml:space="preserve"> is managed under the 2014 NPS and how the current proposals would change that.</w:t>
      </w:r>
    </w:p>
    <w:p w:rsidR="00763CC5" w:rsidRDefault="00020188" w:rsidP="00262001">
      <w:pPr>
        <w:pStyle w:val="Heading2"/>
      </w:pPr>
      <w:bookmarkStart w:id="12" w:name="_Toc479073456"/>
      <w:bookmarkStart w:id="13" w:name="_Toc482112346"/>
      <w:r>
        <w:t xml:space="preserve">The </w:t>
      </w:r>
      <w:r w:rsidR="00892F47">
        <w:t>purpose</w:t>
      </w:r>
      <w:r>
        <w:t xml:space="preserve"> of swimming maps and </w:t>
      </w:r>
      <w:r w:rsidR="00F14C40">
        <w:t xml:space="preserve">proposed </w:t>
      </w:r>
      <w:r>
        <w:t>swimming targets</w:t>
      </w:r>
      <w:bookmarkEnd w:id="12"/>
      <w:bookmarkEnd w:id="13"/>
    </w:p>
    <w:p w:rsidR="00B27727" w:rsidRDefault="00B27727" w:rsidP="00B75B86">
      <w:pPr>
        <w:tabs>
          <w:tab w:val="left" w:pos="6663"/>
        </w:tabs>
        <w:jc w:val="left"/>
      </w:pPr>
      <w:bookmarkStart w:id="14" w:name="_Toc479073457"/>
      <w:r>
        <w:t>The</w:t>
      </w:r>
      <w:r w:rsidRPr="00DD4142">
        <w:t xml:space="preserve"> </w:t>
      </w:r>
      <w:r w:rsidR="00617D45" w:rsidRPr="008C66D7">
        <w:rPr>
          <w:i/>
        </w:rPr>
        <w:t>E. coli</w:t>
      </w:r>
      <w:r w:rsidR="00617D45">
        <w:t xml:space="preserve"> </w:t>
      </w:r>
      <w:r>
        <w:t xml:space="preserve">categories discussed in this report are used for three </w:t>
      </w:r>
      <w:r w:rsidR="003261CC">
        <w:t xml:space="preserve">separate </w:t>
      </w:r>
      <w:r w:rsidR="009F56FC">
        <w:t>parts of the Clean Water package (swimming maps, proposed targets, and a proposed attribute</w:t>
      </w:r>
      <w:r w:rsidR="008C66D7">
        <w:t xml:space="preserve"> table in the </w:t>
      </w:r>
      <w:r w:rsidR="00543AD5">
        <w:t xml:space="preserve">Freshwater </w:t>
      </w:r>
      <w:r w:rsidR="008C66D7">
        <w:t>NPS).</w:t>
      </w:r>
      <w:r>
        <w:t xml:space="preserve"> In </w:t>
      </w:r>
      <w:r w:rsidR="0089065A">
        <w:t>the target</w:t>
      </w:r>
      <w:r w:rsidR="008A688D">
        <w:t>s</w:t>
      </w:r>
      <w:r w:rsidR="0089065A">
        <w:t xml:space="preserve"> and maps</w:t>
      </w:r>
      <w:r>
        <w:t>,</w:t>
      </w:r>
      <w:r w:rsidRPr="00DD4142">
        <w:t xml:space="preserve"> </w:t>
      </w:r>
      <w:r w:rsidRPr="00DD4142">
        <w:rPr>
          <w:i/>
        </w:rPr>
        <w:t>E. coli</w:t>
      </w:r>
      <w:r>
        <w:t xml:space="preserve"> applies only to rivers</w:t>
      </w:r>
      <w:r w:rsidR="0089065A">
        <w:t xml:space="preserve"> </w:t>
      </w:r>
      <w:r w:rsidR="00146BD2">
        <w:t xml:space="preserve">because </w:t>
      </w:r>
      <w:r w:rsidR="00146BD2" w:rsidRPr="00F65117">
        <w:rPr>
          <w:i/>
        </w:rPr>
        <w:t>E. coli</w:t>
      </w:r>
      <w:r w:rsidR="00146BD2" w:rsidRPr="00146BD2">
        <w:t xml:space="preserve"> is the most common reason water quality in rivers is unsuitable for swimming whereas for lakes the most common reason is toxic algae.</w:t>
      </w:r>
      <w:r w:rsidR="00146BD2">
        <w:t xml:space="preserve">  </w:t>
      </w:r>
      <w:r>
        <w:t xml:space="preserve">Table </w:t>
      </w:r>
      <w:r w:rsidR="00E411CB">
        <w:t>1</w:t>
      </w:r>
      <w:r>
        <w:t xml:space="preserve"> </w:t>
      </w:r>
      <w:r w:rsidR="00433A94">
        <w:t>summarises what water bodies the</w:t>
      </w:r>
      <w:r w:rsidR="00433A94" w:rsidRPr="00DD4142">
        <w:t xml:space="preserve"> </w:t>
      </w:r>
      <w:r w:rsidR="00433A94" w:rsidRPr="00DD4142">
        <w:rPr>
          <w:i/>
        </w:rPr>
        <w:t>E. coli</w:t>
      </w:r>
      <w:r w:rsidR="00433A94">
        <w:t xml:space="preserve"> categories apply to for each proposal.</w:t>
      </w:r>
    </w:p>
    <w:p w:rsidR="00B27727" w:rsidRDefault="00006371" w:rsidP="008A688D">
      <w:pPr>
        <w:pStyle w:val="Tableheading0"/>
        <w:ind w:left="993" w:hanging="993"/>
      </w:pPr>
      <w:r w:rsidRPr="00DD4142">
        <w:lastRenderedPageBreak/>
        <w:t xml:space="preserve">Table </w:t>
      </w:r>
      <w:r w:rsidR="00E411CB" w:rsidRPr="00DD4142">
        <w:t>1</w:t>
      </w:r>
      <w:r w:rsidR="008A688D">
        <w:t>:</w:t>
      </w:r>
      <w:r w:rsidR="008A688D">
        <w:tab/>
      </w:r>
      <w:r w:rsidRPr="00DD4142">
        <w:t>Which contaminants are used in the swimming maps, targets and attribute table</w:t>
      </w:r>
    </w:p>
    <w:tbl>
      <w:tblPr>
        <w:tblW w:w="9296" w:type="dxa"/>
        <w:tblLayout w:type="fixed"/>
        <w:tblCellMar>
          <w:left w:w="0" w:type="dxa"/>
          <w:right w:w="0" w:type="dxa"/>
        </w:tblCellMar>
        <w:tblLook w:val="04A0" w:firstRow="1" w:lastRow="0" w:firstColumn="1" w:lastColumn="0" w:noHBand="0" w:noVBand="1"/>
      </w:tblPr>
      <w:tblGrid>
        <w:gridCol w:w="2324"/>
        <w:gridCol w:w="2324"/>
        <w:gridCol w:w="2324"/>
        <w:gridCol w:w="2324"/>
      </w:tblGrid>
      <w:tr w:rsidR="00B27727" w:rsidRPr="006720D7" w:rsidTr="007C4BAE">
        <w:trPr>
          <w:trHeight w:val="20"/>
          <w:tblHeader/>
        </w:trPr>
        <w:tc>
          <w:tcPr>
            <w:tcW w:w="2324" w:type="dxa"/>
            <w:tcBorders>
              <w:top w:val="single" w:sz="6" w:space="0" w:color="1C556C"/>
            </w:tcBorders>
            <w:shd w:val="clear" w:color="auto" w:fill="1C556C"/>
            <w:tcMar>
              <w:top w:w="120" w:type="dxa"/>
              <w:left w:w="150" w:type="dxa"/>
              <w:bottom w:w="120" w:type="dxa"/>
              <w:right w:w="150" w:type="dxa"/>
            </w:tcMar>
            <w:vAlign w:val="center"/>
          </w:tcPr>
          <w:p w:rsidR="00B27727" w:rsidRPr="006720D7" w:rsidRDefault="00B27727" w:rsidP="006720D7">
            <w:pPr>
              <w:pStyle w:val="TableTextbold"/>
              <w:rPr>
                <w:rFonts w:cs="Times New Roman"/>
                <w:color w:val="FFFFFF" w:themeColor="background1"/>
                <w:szCs w:val="20"/>
              </w:rPr>
            </w:pPr>
            <w:r w:rsidRPr="006720D7">
              <w:rPr>
                <w:rFonts w:cs="Times New Roman"/>
                <w:color w:val="FFFFFF" w:themeColor="background1"/>
                <w:szCs w:val="20"/>
              </w:rPr>
              <w:t>Water body type</w:t>
            </w:r>
          </w:p>
        </w:tc>
        <w:tc>
          <w:tcPr>
            <w:tcW w:w="2324" w:type="dxa"/>
            <w:tcBorders>
              <w:top w:val="single" w:sz="6" w:space="0" w:color="1C556C"/>
              <w:right w:val="single" w:sz="6" w:space="0" w:color="1C556C"/>
            </w:tcBorders>
            <w:shd w:val="clear" w:color="auto" w:fill="1C556C"/>
            <w:tcMar>
              <w:top w:w="120" w:type="dxa"/>
              <w:left w:w="150" w:type="dxa"/>
              <w:bottom w:w="120" w:type="dxa"/>
              <w:right w:w="150" w:type="dxa"/>
            </w:tcMar>
            <w:vAlign w:val="center"/>
          </w:tcPr>
          <w:p w:rsidR="00B27727" w:rsidRPr="006720D7" w:rsidRDefault="00B27727" w:rsidP="006720D7">
            <w:pPr>
              <w:pStyle w:val="TableTextbold"/>
              <w:rPr>
                <w:rFonts w:cs="Times New Roman"/>
                <w:color w:val="FFFFFF" w:themeColor="background1"/>
                <w:szCs w:val="20"/>
              </w:rPr>
            </w:pPr>
            <w:r w:rsidRPr="006720D7">
              <w:rPr>
                <w:rFonts w:cs="Times New Roman"/>
                <w:color w:val="FFFFFF" w:themeColor="background1"/>
                <w:szCs w:val="20"/>
              </w:rPr>
              <w:t>Swimming maps</w:t>
            </w:r>
          </w:p>
        </w:tc>
        <w:tc>
          <w:tcPr>
            <w:tcW w:w="2324" w:type="dxa"/>
            <w:tcBorders>
              <w:top w:val="single" w:sz="6" w:space="0" w:color="1C556C"/>
              <w:left w:val="single" w:sz="6" w:space="0" w:color="1C556C"/>
              <w:right w:val="single" w:sz="6" w:space="0" w:color="1C556C"/>
            </w:tcBorders>
            <w:shd w:val="clear" w:color="auto" w:fill="1C556C"/>
            <w:tcMar>
              <w:top w:w="120" w:type="dxa"/>
              <w:left w:w="150" w:type="dxa"/>
              <w:bottom w:w="120" w:type="dxa"/>
              <w:right w:w="150" w:type="dxa"/>
            </w:tcMar>
            <w:vAlign w:val="center"/>
          </w:tcPr>
          <w:p w:rsidR="00B27727" w:rsidRPr="006720D7" w:rsidRDefault="00B27727" w:rsidP="006720D7">
            <w:pPr>
              <w:pStyle w:val="TableTextbold"/>
              <w:rPr>
                <w:rFonts w:cs="Times New Roman"/>
                <w:color w:val="FFFFFF" w:themeColor="background1"/>
                <w:szCs w:val="20"/>
              </w:rPr>
            </w:pPr>
            <w:r w:rsidRPr="006720D7">
              <w:rPr>
                <w:rFonts w:cs="Times New Roman"/>
                <w:color w:val="FFFFFF" w:themeColor="background1"/>
                <w:szCs w:val="20"/>
              </w:rPr>
              <w:t>Targets</w:t>
            </w:r>
          </w:p>
        </w:tc>
        <w:tc>
          <w:tcPr>
            <w:tcW w:w="2324" w:type="dxa"/>
            <w:tcBorders>
              <w:top w:val="single" w:sz="6" w:space="0" w:color="1C556C"/>
              <w:left w:val="single" w:sz="6" w:space="0" w:color="1C556C"/>
            </w:tcBorders>
            <w:shd w:val="clear" w:color="auto" w:fill="1C556C"/>
          </w:tcPr>
          <w:p w:rsidR="00B27727" w:rsidRPr="006720D7" w:rsidRDefault="00B27727" w:rsidP="008A688D">
            <w:pPr>
              <w:pStyle w:val="TableTextbold"/>
              <w:ind w:left="124"/>
              <w:rPr>
                <w:rFonts w:cs="Times New Roman"/>
                <w:color w:val="FFFFFF" w:themeColor="background1"/>
                <w:szCs w:val="20"/>
              </w:rPr>
            </w:pPr>
            <w:r w:rsidRPr="006720D7">
              <w:rPr>
                <w:rFonts w:cs="Times New Roman"/>
                <w:color w:val="FFFFFF" w:themeColor="background1"/>
                <w:szCs w:val="20"/>
              </w:rPr>
              <w:t>NPS attribute table</w:t>
            </w:r>
          </w:p>
        </w:tc>
      </w:tr>
      <w:tr w:rsidR="00B27727" w:rsidRPr="002A73C7" w:rsidTr="00C26E0B">
        <w:trPr>
          <w:trHeight w:val="20"/>
          <w:tblHeader/>
        </w:trPr>
        <w:tc>
          <w:tcPr>
            <w:tcW w:w="2324" w:type="dxa"/>
            <w:tcBorders>
              <w:bottom w:val="single" w:sz="6" w:space="0" w:color="1C556C"/>
              <w:right w:val="single" w:sz="6" w:space="0" w:color="1C556C"/>
            </w:tcBorders>
            <w:shd w:val="clear" w:color="auto" w:fill="FFFFFF" w:themeFill="background1"/>
            <w:tcMar>
              <w:top w:w="120" w:type="dxa"/>
              <w:left w:w="150" w:type="dxa"/>
              <w:bottom w:w="120" w:type="dxa"/>
              <w:right w:w="150" w:type="dxa"/>
            </w:tcMar>
          </w:tcPr>
          <w:p w:rsidR="00B27727" w:rsidRPr="006720D7" w:rsidRDefault="00B27727" w:rsidP="006720D7">
            <w:pPr>
              <w:pStyle w:val="TableText"/>
              <w:spacing w:line="240" w:lineRule="atLeast"/>
              <w:jc w:val="left"/>
              <w:rPr>
                <w:rFonts w:cs="Times New Roman"/>
                <w:sz w:val="18"/>
                <w:szCs w:val="20"/>
              </w:rPr>
            </w:pPr>
            <w:r w:rsidRPr="006720D7">
              <w:rPr>
                <w:rFonts w:cs="Times New Roman"/>
                <w:sz w:val="18"/>
                <w:szCs w:val="20"/>
              </w:rPr>
              <w:t>Rivers</w:t>
            </w:r>
          </w:p>
        </w:tc>
        <w:tc>
          <w:tcPr>
            <w:tcW w:w="2324" w:type="dxa"/>
            <w:tcBorders>
              <w:left w:val="single" w:sz="6" w:space="0" w:color="1C556C"/>
              <w:bottom w:val="single" w:sz="6" w:space="0" w:color="1C556C"/>
              <w:right w:val="single" w:sz="6" w:space="0" w:color="1C556C"/>
            </w:tcBorders>
            <w:shd w:val="clear" w:color="auto" w:fill="FFFFFF" w:themeFill="background1"/>
            <w:tcMar>
              <w:top w:w="120" w:type="dxa"/>
              <w:left w:w="150" w:type="dxa"/>
              <w:bottom w:w="120" w:type="dxa"/>
              <w:right w:w="150" w:type="dxa"/>
            </w:tcMar>
          </w:tcPr>
          <w:p w:rsidR="00B27727" w:rsidRPr="0009326C" w:rsidRDefault="00B27727" w:rsidP="006720D7">
            <w:pPr>
              <w:pStyle w:val="TableText"/>
              <w:spacing w:line="240" w:lineRule="atLeast"/>
              <w:jc w:val="left"/>
              <w:rPr>
                <w:rFonts w:cs="Times New Roman"/>
                <w:i/>
                <w:sz w:val="18"/>
                <w:szCs w:val="20"/>
              </w:rPr>
            </w:pPr>
            <w:r w:rsidRPr="0009326C">
              <w:rPr>
                <w:rFonts w:cs="Times New Roman"/>
                <w:i/>
                <w:sz w:val="18"/>
                <w:szCs w:val="20"/>
              </w:rPr>
              <w:t>E. coli</w:t>
            </w:r>
          </w:p>
        </w:tc>
        <w:tc>
          <w:tcPr>
            <w:tcW w:w="2324" w:type="dxa"/>
            <w:tcBorders>
              <w:left w:val="single" w:sz="6" w:space="0" w:color="1C556C"/>
              <w:bottom w:val="single" w:sz="6" w:space="0" w:color="1C556C"/>
              <w:right w:val="single" w:sz="6" w:space="0" w:color="1C556C"/>
            </w:tcBorders>
            <w:shd w:val="clear" w:color="auto" w:fill="FFFFFF" w:themeFill="background1"/>
            <w:tcMar>
              <w:top w:w="120" w:type="dxa"/>
              <w:left w:w="150" w:type="dxa"/>
              <w:bottom w:w="120" w:type="dxa"/>
              <w:right w:w="150" w:type="dxa"/>
            </w:tcMar>
          </w:tcPr>
          <w:p w:rsidR="00B27727" w:rsidRPr="0009326C" w:rsidRDefault="00B27727" w:rsidP="006720D7">
            <w:pPr>
              <w:pStyle w:val="TableText"/>
              <w:spacing w:line="240" w:lineRule="atLeast"/>
              <w:jc w:val="left"/>
              <w:rPr>
                <w:rFonts w:cs="Times New Roman"/>
                <w:i/>
                <w:sz w:val="18"/>
                <w:szCs w:val="20"/>
              </w:rPr>
            </w:pPr>
            <w:r w:rsidRPr="0009326C">
              <w:rPr>
                <w:rFonts w:cs="Times New Roman"/>
                <w:i/>
                <w:sz w:val="18"/>
                <w:szCs w:val="20"/>
              </w:rPr>
              <w:t>E. coli</w:t>
            </w:r>
          </w:p>
        </w:tc>
        <w:tc>
          <w:tcPr>
            <w:tcW w:w="2324" w:type="dxa"/>
            <w:tcBorders>
              <w:left w:val="single" w:sz="6" w:space="0" w:color="1C556C"/>
              <w:bottom w:val="single" w:sz="6" w:space="0" w:color="1C556C"/>
            </w:tcBorders>
            <w:shd w:val="clear" w:color="auto" w:fill="FFFFFF" w:themeFill="background1"/>
          </w:tcPr>
          <w:p w:rsidR="00B27727" w:rsidRPr="0009326C" w:rsidRDefault="00B27727" w:rsidP="0009326C">
            <w:pPr>
              <w:pStyle w:val="TableText"/>
              <w:spacing w:line="240" w:lineRule="atLeast"/>
              <w:ind w:left="124"/>
              <w:jc w:val="left"/>
              <w:rPr>
                <w:rFonts w:cs="Times New Roman"/>
                <w:i/>
                <w:sz w:val="18"/>
                <w:szCs w:val="20"/>
              </w:rPr>
            </w:pPr>
            <w:r w:rsidRPr="0009326C">
              <w:rPr>
                <w:rFonts w:cs="Times New Roman"/>
                <w:i/>
                <w:sz w:val="18"/>
                <w:szCs w:val="20"/>
              </w:rPr>
              <w:t>E. coli</w:t>
            </w:r>
          </w:p>
        </w:tc>
      </w:tr>
      <w:tr w:rsidR="00006371" w:rsidRPr="002A73C7" w:rsidTr="00C26E0B">
        <w:trPr>
          <w:trHeight w:val="20"/>
          <w:tblHeader/>
        </w:trPr>
        <w:tc>
          <w:tcPr>
            <w:tcW w:w="2324" w:type="dxa"/>
            <w:tcBorders>
              <w:top w:val="single" w:sz="6" w:space="0" w:color="1C556C"/>
              <w:bottom w:val="single" w:sz="6" w:space="0" w:color="1C556C"/>
              <w:right w:val="single" w:sz="6" w:space="0" w:color="1C556C"/>
            </w:tcBorders>
            <w:shd w:val="clear" w:color="auto" w:fill="FFFFFF" w:themeFill="background1"/>
            <w:tcMar>
              <w:top w:w="120" w:type="dxa"/>
              <w:left w:w="150" w:type="dxa"/>
              <w:bottom w:w="120" w:type="dxa"/>
              <w:right w:w="150" w:type="dxa"/>
            </w:tcMar>
          </w:tcPr>
          <w:p w:rsidR="00006371" w:rsidRPr="006720D7" w:rsidRDefault="00006371" w:rsidP="006720D7">
            <w:pPr>
              <w:pStyle w:val="TableText"/>
              <w:spacing w:line="240" w:lineRule="atLeast"/>
              <w:jc w:val="left"/>
              <w:rPr>
                <w:rFonts w:cs="Times New Roman"/>
                <w:sz w:val="18"/>
                <w:szCs w:val="20"/>
              </w:rPr>
            </w:pPr>
            <w:r w:rsidRPr="006720D7">
              <w:rPr>
                <w:rFonts w:cs="Times New Roman"/>
                <w:sz w:val="18"/>
                <w:szCs w:val="20"/>
              </w:rPr>
              <w:t>Lakes</w:t>
            </w:r>
          </w:p>
        </w:tc>
        <w:tc>
          <w:tcPr>
            <w:tcW w:w="2324"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120" w:type="dxa"/>
              <w:left w:w="150" w:type="dxa"/>
              <w:bottom w:w="120" w:type="dxa"/>
              <w:right w:w="150" w:type="dxa"/>
            </w:tcMar>
          </w:tcPr>
          <w:p w:rsidR="00006371" w:rsidRPr="006720D7" w:rsidRDefault="00006371" w:rsidP="006720D7">
            <w:pPr>
              <w:pStyle w:val="TableText"/>
              <w:spacing w:line="240" w:lineRule="atLeast"/>
              <w:jc w:val="left"/>
              <w:rPr>
                <w:rFonts w:cs="Times New Roman"/>
                <w:sz w:val="18"/>
                <w:szCs w:val="20"/>
              </w:rPr>
            </w:pPr>
            <w:r w:rsidRPr="006720D7">
              <w:rPr>
                <w:rFonts w:cs="Times New Roman"/>
                <w:sz w:val="18"/>
                <w:szCs w:val="20"/>
              </w:rPr>
              <w:t>Toxic algae</w:t>
            </w:r>
          </w:p>
        </w:tc>
        <w:tc>
          <w:tcPr>
            <w:tcW w:w="2324"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120" w:type="dxa"/>
              <w:left w:w="150" w:type="dxa"/>
              <w:bottom w:w="120" w:type="dxa"/>
              <w:right w:w="150" w:type="dxa"/>
            </w:tcMar>
          </w:tcPr>
          <w:p w:rsidR="00006371" w:rsidRPr="006720D7" w:rsidRDefault="00006371" w:rsidP="006720D7">
            <w:pPr>
              <w:pStyle w:val="TableText"/>
              <w:spacing w:line="240" w:lineRule="atLeast"/>
              <w:jc w:val="left"/>
              <w:rPr>
                <w:rFonts w:cs="Times New Roman"/>
                <w:sz w:val="18"/>
                <w:szCs w:val="20"/>
              </w:rPr>
            </w:pPr>
            <w:r w:rsidRPr="006720D7">
              <w:rPr>
                <w:rFonts w:cs="Times New Roman"/>
                <w:sz w:val="18"/>
                <w:szCs w:val="20"/>
              </w:rPr>
              <w:t>Toxic algae</w:t>
            </w:r>
          </w:p>
        </w:tc>
        <w:tc>
          <w:tcPr>
            <w:tcW w:w="2324" w:type="dxa"/>
            <w:tcBorders>
              <w:top w:val="single" w:sz="6" w:space="0" w:color="1C556C"/>
              <w:left w:val="single" w:sz="6" w:space="0" w:color="1C556C"/>
              <w:bottom w:val="single" w:sz="6" w:space="0" w:color="1C556C"/>
            </w:tcBorders>
            <w:shd w:val="clear" w:color="auto" w:fill="FFFFFF" w:themeFill="background1"/>
          </w:tcPr>
          <w:p w:rsidR="00006371" w:rsidRPr="006720D7" w:rsidRDefault="00006371" w:rsidP="0009326C">
            <w:pPr>
              <w:pStyle w:val="TableText"/>
              <w:spacing w:line="240" w:lineRule="atLeast"/>
              <w:ind w:left="124"/>
              <w:jc w:val="left"/>
              <w:rPr>
                <w:rFonts w:cs="Times New Roman"/>
                <w:sz w:val="18"/>
                <w:szCs w:val="20"/>
              </w:rPr>
            </w:pPr>
            <w:r w:rsidRPr="0009326C">
              <w:rPr>
                <w:rFonts w:cs="Times New Roman"/>
                <w:i/>
                <w:sz w:val="18"/>
                <w:szCs w:val="20"/>
              </w:rPr>
              <w:t>E. coli</w:t>
            </w:r>
            <w:r w:rsidRPr="006720D7">
              <w:rPr>
                <w:rFonts w:cs="Times New Roman"/>
                <w:sz w:val="18"/>
                <w:szCs w:val="20"/>
              </w:rPr>
              <w:t xml:space="preserve"> and toxic algae</w:t>
            </w:r>
          </w:p>
        </w:tc>
      </w:tr>
    </w:tbl>
    <w:p w:rsidR="00020188" w:rsidRDefault="00020188" w:rsidP="00262001">
      <w:pPr>
        <w:pStyle w:val="Heading3"/>
      </w:pPr>
      <w:r>
        <w:t>Background on the aspiration for swimmable rivers</w:t>
      </w:r>
      <w:bookmarkEnd w:id="14"/>
    </w:p>
    <w:p w:rsidR="00C960ED" w:rsidRPr="008C66D7" w:rsidRDefault="00F46E61" w:rsidP="008C66D7">
      <w:pPr>
        <w:pStyle w:val="BodyText"/>
      </w:pPr>
      <w:bookmarkStart w:id="15" w:name="_Toc479073458"/>
      <w:r w:rsidRPr="008C66D7">
        <w:t xml:space="preserve">The introduction of proposed new swimming categories (both as targets, and as attributes in the </w:t>
      </w:r>
      <w:r w:rsidR="00543AD5">
        <w:t>F</w:t>
      </w:r>
      <w:r w:rsidR="00543AD5" w:rsidRPr="008C66D7">
        <w:t xml:space="preserve">reshwater </w:t>
      </w:r>
      <w:r w:rsidRPr="008C66D7">
        <w:t xml:space="preserve">NPS) </w:t>
      </w:r>
      <w:r w:rsidR="002614DA">
        <w:t>is</w:t>
      </w:r>
      <w:r w:rsidR="002614DA" w:rsidRPr="008C66D7">
        <w:t xml:space="preserve"> </w:t>
      </w:r>
      <w:r w:rsidRPr="008C66D7">
        <w:t>in response to public feedback that the existing national bottom line for contact recreation</w:t>
      </w:r>
      <w:r w:rsidR="002614DA">
        <w:t xml:space="preserve"> </w:t>
      </w:r>
      <w:r w:rsidR="002614DA" w:rsidRPr="008C66D7">
        <w:t>were not aspirational enough</w:t>
      </w:r>
      <w:r w:rsidR="002614DA">
        <w:t>.</w:t>
      </w:r>
      <w:r w:rsidRPr="008C66D7">
        <w:t xml:space="preserve"> </w:t>
      </w:r>
      <w:r w:rsidR="00457E8C">
        <w:t>The existing national bottom line</w:t>
      </w:r>
      <w:r w:rsidRPr="008C66D7">
        <w:t xml:space="preserve"> required rivers to be </w:t>
      </w:r>
      <w:r w:rsidR="0089065A" w:rsidRPr="008C66D7">
        <w:t xml:space="preserve">at least </w:t>
      </w:r>
      <w:r w:rsidRPr="008C66D7">
        <w:t>suitable for wading and boating.</w:t>
      </w:r>
    </w:p>
    <w:p w:rsidR="002F4D50" w:rsidRPr="008C66D7" w:rsidRDefault="004919FC" w:rsidP="008C66D7">
      <w:pPr>
        <w:pStyle w:val="BodyText"/>
      </w:pPr>
      <w:r w:rsidRPr="008C66D7">
        <w:t xml:space="preserve">The use of a range of tests, including a median and a percentage of exceedances over the </w:t>
      </w:r>
      <w:r w:rsidR="008D5CD3" w:rsidRPr="008C66D7">
        <w:t xml:space="preserve">acceptable </w:t>
      </w:r>
      <w:r w:rsidRPr="008C66D7">
        <w:t>threshold, is intended to</w:t>
      </w:r>
      <w:r w:rsidR="002F4D50" w:rsidRPr="008C66D7">
        <w:t xml:space="preserve"> recognise that levels of </w:t>
      </w:r>
      <w:r w:rsidR="002F4D50" w:rsidRPr="0009326C">
        <w:rPr>
          <w:i/>
        </w:rPr>
        <w:t>E.</w:t>
      </w:r>
      <w:r w:rsidR="007A355D" w:rsidRPr="0009326C">
        <w:rPr>
          <w:i/>
        </w:rPr>
        <w:t xml:space="preserve"> </w:t>
      </w:r>
      <w:r w:rsidR="002F4D50" w:rsidRPr="0009326C">
        <w:rPr>
          <w:i/>
        </w:rPr>
        <w:t>coli</w:t>
      </w:r>
      <w:r w:rsidR="002F4D50" w:rsidRPr="008C66D7">
        <w:t xml:space="preserve"> in the water are constantly fluctuating, and therefore the risk to human health varies significantly </w:t>
      </w:r>
      <w:r w:rsidR="009A618F" w:rsidRPr="008C66D7">
        <w:t>day to day, or even within a day</w:t>
      </w:r>
      <w:r w:rsidR="002F4D50" w:rsidRPr="008C66D7">
        <w:t xml:space="preserve">. </w:t>
      </w:r>
      <w:r w:rsidR="000D4390" w:rsidRPr="008C66D7">
        <w:t xml:space="preserve">By using descriptions about the percentage of time the </w:t>
      </w:r>
      <w:r w:rsidR="000D4390" w:rsidRPr="0009326C">
        <w:rPr>
          <w:i/>
        </w:rPr>
        <w:t>E. coli</w:t>
      </w:r>
      <w:r w:rsidR="000D4390" w:rsidRPr="008C66D7">
        <w:t xml:space="preserve"> does not exceed a minimum acceptable state, rather than just saying whether it is safe to swim, the proposed categories aim to demonstrate that risk is not binary – it is constantly changing. Rather than simply being told that a river is swimmable or not, the categories seek to give people an indication of the likely risk so they can make choices when deciding where to swim. </w:t>
      </w:r>
    </w:p>
    <w:p w:rsidR="00020188" w:rsidRDefault="00020188" w:rsidP="00262001">
      <w:pPr>
        <w:pStyle w:val="Heading3"/>
      </w:pPr>
      <w:r>
        <w:t>Purpose of the swimming targets</w:t>
      </w:r>
      <w:r w:rsidR="005A4B53">
        <w:t xml:space="preserve"> and NPS attribute table for </w:t>
      </w:r>
      <w:bookmarkEnd w:id="15"/>
      <w:r w:rsidR="00CA4FEA" w:rsidRPr="00CA4FEA">
        <w:rPr>
          <w:i/>
        </w:rPr>
        <w:t>E.</w:t>
      </w:r>
      <w:r w:rsidR="007A355D">
        <w:rPr>
          <w:i/>
        </w:rPr>
        <w:t xml:space="preserve"> </w:t>
      </w:r>
      <w:r w:rsidR="00CA4FEA" w:rsidRPr="00CA4FEA">
        <w:rPr>
          <w:i/>
        </w:rPr>
        <w:t>coli</w:t>
      </w:r>
    </w:p>
    <w:p w:rsidR="00C32203" w:rsidRPr="008C66D7" w:rsidRDefault="00681437" w:rsidP="008C66D7">
      <w:pPr>
        <w:pStyle w:val="BodyText"/>
      </w:pPr>
      <w:r w:rsidRPr="008C66D7">
        <w:t>The proposed swimming categories are intended to provide a more aspirational approach to managing human health risk for swimming. They</w:t>
      </w:r>
      <w:r w:rsidR="00100019" w:rsidRPr="008C66D7">
        <w:t xml:space="preserve"> are non-statutory</w:t>
      </w:r>
      <w:r w:rsidRPr="008C66D7">
        <w:t>, but</w:t>
      </w:r>
      <w:r w:rsidR="00100019" w:rsidRPr="008C66D7">
        <w:t xml:space="preserve"> set out the amount of improvement the Government is aiming for, and asking regional councils to aim for. This is expressed as a </w:t>
      </w:r>
      <w:r w:rsidR="00730C44">
        <w:t xml:space="preserve">change in </w:t>
      </w:r>
      <w:r w:rsidR="00100019" w:rsidRPr="008C66D7">
        <w:t xml:space="preserve">percentage in the </w:t>
      </w:r>
      <w:r w:rsidR="00730C44">
        <w:t>length</w:t>
      </w:r>
      <w:r w:rsidR="00730C44" w:rsidRPr="008C66D7">
        <w:t xml:space="preserve"> </w:t>
      </w:r>
      <w:r w:rsidR="00C3302D" w:rsidRPr="008C66D7">
        <w:t>of rivers and lake</w:t>
      </w:r>
      <w:r w:rsidR="00730C44">
        <w:t xml:space="preserve"> edges</w:t>
      </w:r>
      <w:r w:rsidR="00C3302D" w:rsidRPr="008C66D7">
        <w:t xml:space="preserve"> that are swimmable by 2040</w:t>
      </w:r>
      <w:r w:rsidR="009A262B" w:rsidRPr="008C66D7">
        <w:t>, with an interim target by 2030</w:t>
      </w:r>
      <w:r w:rsidR="00C3302D" w:rsidRPr="008C66D7">
        <w:t>.</w:t>
      </w:r>
      <w:r w:rsidRPr="008C66D7">
        <w:t xml:space="preserve"> The proposed swimming categories are intended to provide a more aspirational approach to managing human health risk for swimming</w:t>
      </w:r>
      <w:r w:rsidR="009A262B" w:rsidRPr="008C66D7">
        <w:t>, and drive continuous improvement over time</w:t>
      </w:r>
      <w:r w:rsidRPr="008C66D7">
        <w:t>.</w:t>
      </w:r>
    </w:p>
    <w:p w:rsidR="000D4390" w:rsidRDefault="000D4390" w:rsidP="00023C12">
      <w:pPr>
        <w:pStyle w:val="Heading3"/>
      </w:pPr>
      <w:r>
        <w:t xml:space="preserve">Purpose of the NPS attribute table for </w:t>
      </w:r>
      <w:r w:rsidRPr="00CA4FEA">
        <w:rPr>
          <w:i/>
        </w:rPr>
        <w:t>E.</w:t>
      </w:r>
      <w:r w:rsidR="007A355D">
        <w:rPr>
          <w:i/>
        </w:rPr>
        <w:t xml:space="preserve"> </w:t>
      </w:r>
      <w:r w:rsidRPr="00CA4FEA">
        <w:rPr>
          <w:i/>
        </w:rPr>
        <w:t>coli</w:t>
      </w:r>
    </w:p>
    <w:p w:rsidR="00C3302D" w:rsidRPr="008C66D7" w:rsidRDefault="00C3302D" w:rsidP="008C66D7">
      <w:pPr>
        <w:pStyle w:val="BodyText"/>
      </w:pPr>
      <w:r w:rsidRPr="008C66D7">
        <w:t xml:space="preserve">The proposed changes to the attribute tables in the Freshwater NPS </w:t>
      </w:r>
      <w:r w:rsidR="00681437" w:rsidRPr="008C66D7">
        <w:t xml:space="preserve">are intended to help councils give effect to the targets. They </w:t>
      </w:r>
      <w:r w:rsidRPr="008C66D7">
        <w:t xml:space="preserve">place new requirements on how councils manage the quality of lakes and rivers to provide for swimming. </w:t>
      </w:r>
    </w:p>
    <w:p w:rsidR="00C32203" w:rsidRPr="008C66D7" w:rsidRDefault="00877A54" w:rsidP="008C66D7">
      <w:pPr>
        <w:pStyle w:val="BodyText"/>
      </w:pPr>
      <w:r w:rsidRPr="008C66D7">
        <w:t xml:space="preserve">More information about the swimming targets is available on the Ministry for the Environment’s website and in the consultation document </w:t>
      </w:r>
      <w:hyperlink r:id="rId20" w:history="1">
        <w:r w:rsidRPr="008C66D7">
          <w:rPr>
            <w:rStyle w:val="Hyperlink"/>
          </w:rPr>
          <w:t>Clean water: 90% of rivers and lakes swimmable by 2040</w:t>
        </w:r>
      </w:hyperlink>
      <w:r w:rsidRPr="008C66D7">
        <w:t>.</w:t>
      </w:r>
    </w:p>
    <w:p w:rsidR="00C3302D" w:rsidRDefault="00C3302D" w:rsidP="00C3302D">
      <w:pPr>
        <w:pStyle w:val="Heading3"/>
      </w:pPr>
      <w:bookmarkStart w:id="16" w:name="_Toc479073459"/>
      <w:r>
        <w:t>Purpose of the swimming maps</w:t>
      </w:r>
      <w:bookmarkEnd w:id="16"/>
    </w:p>
    <w:p w:rsidR="00CF1238" w:rsidRPr="008C66D7" w:rsidRDefault="00C3302D" w:rsidP="008C66D7">
      <w:pPr>
        <w:pStyle w:val="BodyText"/>
      </w:pPr>
      <w:r w:rsidRPr="008C66D7">
        <w:t xml:space="preserve">The swimming maps on the Ministry for the Environment’s website </w:t>
      </w:r>
      <w:r w:rsidR="00CF1238" w:rsidRPr="008C66D7">
        <w:t xml:space="preserve">show the current state of New Zealand’s </w:t>
      </w:r>
      <w:r w:rsidR="00650DC8" w:rsidRPr="008C66D7">
        <w:t xml:space="preserve">larger </w:t>
      </w:r>
      <w:r w:rsidR="002C26A1" w:rsidRPr="008C66D7">
        <w:t>rivers and lakes</w:t>
      </w:r>
      <w:r w:rsidR="00B94B47">
        <w:t xml:space="preserve"> of a size suitable for swimming</w:t>
      </w:r>
      <w:r w:rsidR="002C26A1" w:rsidRPr="008C66D7">
        <w:t xml:space="preserve"> </w:t>
      </w:r>
      <w:r w:rsidR="00CF1238" w:rsidRPr="008C66D7">
        <w:t xml:space="preserve">in relation to the </w:t>
      </w:r>
      <w:r w:rsidR="00681437" w:rsidRPr="008C66D7">
        <w:t>targets</w:t>
      </w:r>
      <w:r w:rsidR="00CF1238" w:rsidRPr="008C66D7">
        <w:t xml:space="preserve">, to help communities identify where to focus attention. </w:t>
      </w:r>
    </w:p>
    <w:p w:rsidR="001F7DBF" w:rsidRPr="008C66D7" w:rsidRDefault="00CF1238" w:rsidP="008C66D7">
      <w:pPr>
        <w:pStyle w:val="BodyText"/>
      </w:pPr>
      <w:r w:rsidRPr="008C66D7">
        <w:lastRenderedPageBreak/>
        <w:t xml:space="preserve">The maps also provide </w:t>
      </w:r>
      <w:r w:rsidR="002C26A1" w:rsidRPr="008C66D7">
        <w:t>a nationwide picture about the state of rivers and lakes using the same measuring system across the country. This provide</w:t>
      </w:r>
      <w:r w:rsidR="00F74D87">
        <w:t>s</w:t>
      </w:r>
      <w:r w:rsidR="002C26A1" w:rsidRPr="008C66D7">
        <w:t xml:space="preserve"> </w:t>
      </w:r>
      <w:r w:rsidR="00E04D29" w:rsidRPr="008C66D7">
        <w:t xml:space="preserve">people with </w:t>
      </w:r>
      <w:r w:rsidRPr="008C66D7">
        <w:t xml:space="preserve">information about which locations </w:t>
      </w:r>
      <w:r w:rsidR="00E04D29" w:rsidRPr="008C66D7">
        <w:t>have a low risk of illness</w:t>
      </w:r>
      <w:r w:rsidRPr="008C66D7">
        <w:t xml:space="preserve">, and which </w:t>
      </w:r>
      <w:r w:rsidR="00E04D29" w:rsidRPr="008C66D7">
        <w:t>have a risk that is unacceptable</w:t>
      </w:r>
      <w:r w:rsidRPr="008C66D7">
        <w:t xml:space="preserve">. They use modelling to build on council data to </w:t>
      </w:r>
      <w:r w:rsidR="00EF607F">
        <w:t>estimate</w:t>
      </w:r>
      <w:r w:rsidR="00EF607F" w:rsidRPr="008C66D7">
        <w:t xml:space="preserve"> </w:t>
      </w:r>
      <w:r w:rsidRPr="008C66D7">
        <w:t>water quality for swimming not only at monitored sites, but up and down the length of river networks</w:t>
      </w:r>
      <w:r w:rsidR="00EE5402" w:rsidRPr="008C66D7">
        <w:t xml:space="preserve"> in rivers deep enough to swim in</w:t>
      </w:r>
      <w:r w:rsidRPr="008C66D7">
        <w:t>.</w:t>
      </w:r>
      <w:r w:rsidR="00F608AC" w:rsidRPr="008C66D7">
        <w:t xml:space="preserve"> </w:t>
      </w:r>
      <w:bookmarkStart w:id="17" w:name="_Toc479073460"/>
    </w:p>
    <w:p w:rsidR="009A262B" w:rsidRPr="008C66D7" w:rsidRDefault="009A262B" w:rsidP="008C66D7">
      <w:pPr>
        <w:pStyle w:val="BodyText"/>
      </w:pPr>
      <w:r w:rsidRPr="008C66D7">
        <w:t>The maps provide a longer</w:t>
      </w:r>
      <w:r w:rsidR="00F74D87">
        <w:t>-</w:t>
      </w:r>
      <w:r w:rsidRPr="008C66D7">
        <w:t xml:space="preserve">term view of water quality, which complements the information already available on </w:t>
      </w:r>
      <w:r w:rsidR="00F74D87">
        <w:t xml:space="preserve">the </w:t>
      </w:r>
      <w:r w:rsidRPr="008C66D7">
        <w:t xml:space="preserve">LAWA </w:t>
      </w:r>
      <w:r w:rsidR="00F74D87">
        <w:t xml:space="preserve">website </w:t>
      </w:r>
      <w:r w:rsidRPr="008C66D7">
        <w:t>and individual council websites about recent monitoring results. That means people can get a</w:t>
      </w:r>
      <w:r w:rsidR="00634EDA">
        <w:t xml:space="preserve"> general</w:t>
      </w:r>
      <w:r w:rsidRPr="008C66D7">
        <w:t xml:space="preserve"> idea of the </w:t>
      </w:r>
      <w:r w:rsidR="00634EDA">
        <w:t xml:space="preserve">water </w:t>
      </w:r>
      <w:r w:rsidRPr="008C66D7">
        <w:t>quality</w:t>
      </w:r>
      <w:r w:rsidR="00634EDA">
        <w:t xml:space="preserve"> for swimming</w:t>
      </w:r>
      <w:r w:rsidRPr="008C66D7">
        <w:t xml:space="preserve"> </w:t>
      </w:r>
      <w:r w:rsidR="00634EDA">
        <w:t>over</w:t>
      </w:r>
      <w:r w:rsidRPr="008C66D7">
        <w:t xml:space="preserve"> a whole river using the Ministry for the Environment’s maps, and they can visit LAWA or their council website for the </w:t>
      </w:r>
      <w:r w:rsidR="000748B9" w:rsidRPr="008C66D7">
        <w:t xml:space="preserve">most up-to-date information about </w:t>
      </w:r>
      <w:r w:rsidR="001466A0" w:rsidRPr="008C66D7">
        <w:t xml:space="preserve">health risk over the </w:t>
      </w:r>
      <w:r w:rsidR="00F74D87">
        <w:t>p</w:t>
      </w:r>
      <w:r w:rsidR="00F74D87" w:rsidRPr="008C66D7">
        <w:t xml:space="preserve">ast </w:t>
      </w:r>
      <w:r w:rsidR="001466A0" w:rsidRPr="008C66D7">
        <w:t>few weeks.</w:t>
      </w:r>
    </w:p>
    <w:p w:rsidR="00401E63" w:rsidRPr="00F33D04" w:rsidRDefault="00401E63" w:rsidP="00CC0BC8">
      <w:pPr>
        <w:pStyle w:val="BodyText"/>
      </w:pPr>
      <w:r>
        <w:br w:type="page"/>
      </w:r>
    </w:p>
    <w:p w:rsidR="002C392D" w:rsidRDefault="002C392D" w:rsidP="000661E2">
      <w:pPr>
        <w:pStyle w:val="Heading1"/>
      </w:pPr>
      <w:bookmarkStart w:id="18" w:name="_Toc482112347"/>
      <w:r>
        <w:lastRenderedPageBreak/>
        <w:t xml:space="preserve">An explanation of the proposed </w:t>
      </w:r>
      <w:r w:rsidRPr="000661E2">
        <w:t>swimming</w:t>
      </w:r>
      <w:r>
        <w:t xml:space="preserve"> categories</w:t>
      </w:r>
      <w:bookmarkEnd w:id="17"/>
      <w:bookmarkEnd w:id="18"/>
    </w:p>
    <w:p w:rsidR="00F66F28" w:rsidRDefault="00F66F28" w:rsidP="00262001">
      <w:pPr>
        <w:pStyle w:val="Heading2"/>
      </w:pPr>
      <w:bookmarkStart w:id="19" w:name="_Toc479073461"/>
      <w:bookmarkStart w:id="20" w:name="_Toc482112348"/>
      <w:r>
        <w:t>What constitutes ‘swimmable’</w:t>
      </w:r>
      <w:bookmarkEnd w:id="19"/>
      <w:bookmarkEnd w:id="20"/>
    </w:p>
    <w:p w:rsidR="00262D77" w:rsidRPr="000661E2" w:rsidRDefault="000C76CF" w:rsidP="000661E2">
      <w:pPr>
        <w:pStyle w:val="BodyText"/>
      </w:pPr>
      <w:r w:rsidRPr="000661E2">
        <w:t xml:space="preserve">In the </w:t>
      </w:r>
      <w:r w:rsidR="00F74D87">
        <w:t xml:space="preserve">swimming </w:t>
      </w:r>
      <w:r w:rsidRPr="000661E2">
        <w:t>maps</w:t>
      </w:r>
      <w:r w:rsidR="00A71CCB" w:rsidRPr="000661E2">
        <w:t>,</w:t>
      </w:r>
      <w:r w:rsidRPr="000661E2">
        <w:t xml:space="preserve"> </w:t>
      </w:r>
      <w:r w:rsidR="00A71CCB" w:rsidRPr="000661E2">
        <w:t xml:space="preserve">the </w:t>
      </w:r>
      <w:r w:rsidR="00F74D87">
        <w:t xml:space="preserve">Freshwater </w:t>
      </w:r>
      <w:r w:rsidR="00A71CCB" w:rsidRPr="000661E2">
        <w:t xml:space="preserve">NPS attribute table and the </w:t>
      </w:r>
      <w:r w:rsidRPr="000661E2">
        <w:t xml:space="preserve">accompanying targets, rivers and lakes in New Zealand </w:t>
      </w:r>
      <w:r w:rsidR="00B13FD4" w:rsidRPr="000661E2">
        <w:t xml:space="preserve">are divided into five categories ranging from ‘excellent’ to ‘poor’. </w:t>
      </w:r>
    </w:p>
    <w:p w:rsidR="00B13FD4" w:rsidRPr="002D7317" w:rsidRDefault="00E411CB" w:rsidP="008A688D">
      <w:pPr>
        <w:pStyle w:val="Tableheading0"/>
        <w:ind w:left="993" w:hanging="993"/>
      </w:pPr>
      <w:r>
        <w:t>Table 2</w:t>
      </w:r>
      <w:r w:rsidR="008A688D">
        <w:t>:</w:t>
      </w:r>
      <w:r w:rsidR="008A688D">
        <w:tab/>
      </w:r>
      <w:r w:rsidR="002D7317" w:rsidRPr="002D7317">
        <w:t>Proposed swimming categories</w:t>
      </w:r>
      <w:r w:rsidR="00634EDA">
        <w:t xml:space="preserve"> in the Clean Water consultation document</w:t>
      </w:r>
    </w:p>
    <w:tbl>
      <w:tblPr>
        <w:tblStyle w:val="TableGrid"/>
        <w:tblW w:w="9180"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51"/>
        <w:gridCol w:w="7229"/>
      </w:tblGrid>
      <w:tr w:rsidR="00B924F7" w:rsidRPr="00F34805" w:rsidTr="009C7DE9">
        <w:tc>
          <w:tcPr>
            <w:tcW w:w="1951" w:type="dxa"/>
            <w:shd w:val="clear" w:color="auto" w:fill="1C556C"/>
          </w:tcPr>
          <w:p w:rsidR="00B924F7" w:rsidRPr="00F34805" w:rsidRDefault="00B924F7" w:rsidP="00F34805">
            <w:pPr>
              <w:pStyle w:val="TableTextbold"/>
              <w:rPr>
                <w:rFonts w:cs="Times New Roman"/>
                <w:color w:val="FFFFFF" w:themeColor="background1"/>
                <w:szCs w:val="20"/>
              </w:rPr>
            </w:pPr>
            <w:r w:rsidRPr="00F34805">
              <w:rPr>
                <w:rFonts w:cs="Times New Roman"/>
                <w:color w:val="FFFFFF" w:themeColor="background1"/>
                <w:szCs w:val="20"/>
              </w:rPr>
              <w:t>Category</w:t>
            </w:r>
          </w:p>
        </w:tc>
        <w:tc>
          <w:tcPr>
            <w:tcW w:w="7229" w:type="dxa"/>
            <w:shd w:val="clear" w:color="auto" w:fill="1C556C"/>
          </w:tcPr>
          <w:p w:rsidR="00B924F7" w:rsidRPr="00F34805" w:rsidRDefault="00B924F7" w:rsidP="00F34805">
            <w:pPr>
              <w:pStyle w:val="TableTextbold"/>
              <w:rPr>
                <w:rFonts w:cs="Times New Roman"/>
                <w:color w:val="FFFFFF" w:themeColor="background1"/>
                <w:szCs w:val="20"/>
              </w:rPr>
            </w:pPr>
            <w:r w:rsidRPr="00F34805">
              <w:rPr>
                <w:rFonts w:cs="Times New Roman"/>
                <w:color w:val="FFFFFF" w:themeColor="background1"/>
                <w:szCs w:val="20"/>
              </w:rPr>
              <w:t>What it means</w:t>
            </w:r>
            <w:r w:rsidR="00776F10" w:rsidRPr="00F34805">
              <w:rPr>
                <w:rFonts w:cs="Times New Roman"/>
                <w:color w:val="FFFFFF" w:themeColor="background1"/>
                <w:szCs w:val="20"/>
              </w:rPr>
              <w:t xml:space="preserve"> for swimming</w:t>
            </w:r>
          </w:p>
        </w:tc>
      </w:tr>
      <w:tr w:rsidR="00634EDA" w:rsidTr="009C7DE9">
        <w:tc>
          <w:tcPr>
            <w:tcW w:w="1951"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Excellent</w:t>
            </w:r>
            <w:r>
              <w:rPr>
                <w:rFonts w:cs="Times New Roman"/>
                <w:sz w:val="18"/>
                <w:szCs w:val="20"/>
              </w:rPr>
              <w:t xml:space="preserve"> (Blue)</w:t>
            </w:r>
          </w:p>
        </w:tc>
        <w:tc>
          <w:tcPr>
            <w:tcW w:w="7229"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Safe to swim except following flood events</w:t>
            </w:r>
          </w:p>
        </w:tc>
      </w:tr>
      <w:tr w:rsidR="00634EDA" w:rsidTr="009C7DE9">
        <w:tc>
          <w:tcPr>
            <w:tcW w:w="1951"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Good</w:t>
            </w:r>
            <w:r>
              <w:rPr>
                <w:rFonts w:cs="Times New Roman"/>
                <w:sz w:val="18"/>
                <w:szCs w:val="20"/>
              </w:rPr>
              <w:t xml:space="preserve"> (Green)</w:t>
            </w:r>
          </w:p>
        </w:tc>
        <w:tc>
          <w:tcPr>
            <w:tcW w:w="7229"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Safe to swim except following heavy rain</w:t>
            </w:r>
          </w:p>
        </w:tc>
      </w:tr>
      <w:tr w:rsidR="00634EDA" w:rsidTr="009C7DE9">
        <w:tc>
          <w:tcPr>
            <w:tcW w:w="1951"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Fair</w:t>
            </w:r>
            <w:r>
              <w:rPr>
                <w:rFonts w:cs="Times New Roman"/>
                <w:sz w:val="18"/>
                <w:szCs w:val="20"/>
              </w:rPr>
              <w:t xml:space="preserve"> (Yellow)</w:t>
            </w:r>
          </w:p>
        </w:tc>
        <w:tc>
          <w:tcPr>
            <w:tcW w:w="7229"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Safe to swim in normal conditions but if in doubt, check the LAWA website</w:t>
            </w:r>
          </w:p>
        </w:tc>
      </w:tr>
      <w:tr w:rsidR="00634EDA" w:rsidTr="009C7DE9">
        <w:tc>
          <w:tcPr>
            <w:tcW w:w="1951"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Intermittent</w:t>
            </w:r>
            <w:r>
              <w:rPr>
                <w:rFonts w:cs="Times New Roman"/>
                <w:sz w:val="18"/>
                <w:szCs w:val="20"/>
              </w:rPr>
              <w:t xml:space="preserve"> (Orange)</w:t>
            </w:r>
          </w:p>
        </w:tc>
        <w:tc>
          <w:tcPr>
            <w:tcW w:w="7229"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Not safe to swim except if LAWA website confirms it’s ok</w:t>
            </w:r>
          </w:p>
        </w:tc>
      </w:tr>
      <w:tr w:rsidR="00634EDA" w:rsidTr="009C7DE9">
        <w:tc>
          <w:tcPr>
            <w:tcW w:w="1951"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Poor</w:t>
            </w:r>
            <w:r>
              <w:rPr>
                <w:rFonts w:cs="Times New Roman"/>
                <w:sz w:val="18"/>
                <w:szCs w:val="20"/>
              </w:rPr>
              <w:t xml:space="preserve"> (Red)</w:t>
            </w:r>
          </w:p>
        </w:tc>
        <w:tc>
          <w:tcPr>
            <w:tcW w:w="7229" w:type="dxa"/>
            <w:shd w:val="clear" w:color="auto" w:fill="auto"/>
          </w:tcPr>
          <w:p w:rsidR="00634EDA" w:rsidRPr="00F34805" w:rsidRDefault="00634EDA" w:rsidP="00F34805">
            <w:pPr>
              <w:pStyle w:val="TableText"/>
              <w:spacing w:line="240" w:lineRule="atLeast"/>
              <w:jc w:val="left"/>
              <w:rPr>
                <w:rFonts w:cs="Times New Roman"/>
                <w:sz w:val="18"/>
                <w:szCs w:val="20"/>
              </w:rPr>
            </w:pPr>
            <w:r w:rsidRPr="00F34805">
              <w:rPr>
                <w:rFonts w:cs="Times New Roman"/>
                <w:sz w:val="18"/>
                <w:szCs w:val="20"/>
              </w:rPr>
              <w:t>Not safe to swim</w:t>
            </w:r>
          </w:p>
        </w:tc>
      </w:tr>
    </w:tbl>
    <w:p w:rsidR="004919FC" w:rsidRDefault="00B80EB2" w:rsidP="004919FC">
      <w:pPr>
        <w:pStyle w:val="BodyText"/>
      </w:pPr>
      <w:bookmarkStart w:id="21" w:name="_Toc479073462"/>
      <w:r>
        <w:t xml:space="preserve">By using descriptions about </w:t>
      </w:r>
      <w:r w:rsidR="00151BE4">
        <w:t>the percentage of time the</w:t>
      </w:r>
      <w:r w:rsidR="00151BE4" w:rsidRPr="009049D4">
        <w:rPr>
          <w:i/>
        </w:rPr>
        <w:t xml:space="preserve"> E. coli</w:t>
      </w:r>
      <w:r w:rsidR="00151BE4">
        <w:t xml:space="preserve"> does not exceed a minimum acceptable state</w:t>
      </w:r>
      <w:r>
        <w:t xml:space="preserve">, rather than just saying whether it is safe to swim, the proposed categories aim to demonstrate that risk is </w:t>
      </w:r>
      <w:r w:rsidR="00151BE4">
        <w:t xml:space="preserve">not binary – it is </w:t>
      </w:r>
      <w:r>
        <w:t>constantly changing</w:t>
      </w:r>
      <w:r w:rsidR="00FE1EB0">
        <w:t>.</w:t>
      </w:r>
      <w:r>
        <w:t xml:space="preserve"> </w:t>
      </w:r>
      <w:r w:rsidR="00FE1EB0">
        <w:t xml:space="preserve">Rather than simply being told that a river is swimmable or not, the categories seek to give people </w:t>
      </w:r>
      <w:r w:rsidR="00151BE4">
        <w:t>an indication of the likely risk</w:t>
      </w:r>
      <w:r w:rsidR="00FE1EB0">
        <w:t>.</w:t>
      </w:r>
      <w:r>
        <w:t xml:space="preserve"> </w:t>
      </w:r>
    </w:p>
    <w:p w:rsidR="003E3C80" w:rsidRDefault="003E3C80" w:rsidP="003E3C80">
      <w:pPr>
        <w:pStyle w:val="Heading2"/>
      </w:pPr>
      <w:bookmarkStart w:id="22" w:name="_Toc482112349"/>
      <w:r>
        <w:t xml:space="preserve">Fluctuations in </w:t>
      </w:r>
      <w:r w:rsidR="00CA4FEA" w:rsidRPr="00CA4FEA">
        <w:rPr>
          <w:i/>
        </w:rPr>
        <w:t>E.</w:t>
      </w:r>
      <w:r w:rsidR="007A355D">
        <w:rPr>
          <w:i/>
        </w:rPr>
        <w:t xml:space="preserve"> </w:t>
      </w:r>
      <w:r w:rsidR="00CA4FEA" w:rsidRPr="00CA4FEA">
        <w:rPr>
          <w:i/>
        </w:rPr>
        <w:t>coli</w:t>
      </w:r>
      <w:r>
        <w:t xml:space="preserve"> levels</w:t>
      </w:r>
      <w:bookmarkEnd w:id="22"/>
    </w:p>
    <w:p w:rsidR="00F44E9F" w:rsidRPr="007E209E" w:rsidRDefault="003E3C80" w:rsidP="007E209E">
      <w:pPr>
        <w:pStyle w:val="BodyText"/>
      </w:pPr>
      <w:r w:rsidRPr="007E209E">
        <w:t xml:space="preserve">Levels of </w:t>
      </w:r>
      <w:r w:rsidR="00CA4FEA" w:rsidRPr="0009326C">
        <w:rPr>
          <w:i/>
        </w:rPr>
        <w:t>E.</w:t>
      </w:r>
      <w:r w:rsidR="007A355D" w:rsidRPr="0009326C">
        <w:rPr>
          <w:i/>
        </w:rPr>
        <w:t xml:space="preserve"> </w:t>
      </w:r>
      <w:r w:rsidR="00CA4FEA" w:rsidRPr="0009326C">
        <w:rPr>
          <w:i/>
        </w:rPr>
        <w:t>coli</w:t>
      </w:r>
      <w:r w:rsidRPr="007E209E">
        <w:t xml:space="preserve"> in the water are constantly fluctuating, and therefore the risk to human health varies significantly over time. </w:t>
      </w:r>
    </w:p>
    <w:p w:rsidR="00F44E9F" w:rsidRPr="007E209E" w:rsidRDefault="00205CC9" w:rsidP="007E209E">
      <w:pPr>
        <w:pStyle w:val="BodyText"/>
      </w:pPr>
      <w:r w:rsidRPr="0009326C">
        <w:rPr>
          <w:i/>
        </w:rPr>
        <w:t>E. col</w:t>
      </w:r>
      <w:r w:rsidRPr="000B0320">
        <w:rPr>
          <w:i/>
        </w:rPr>
        <w:t>i</w:t>
      </w:r>
      <w:r w:rsidRPr="007E209E">
        <w:t xml:space="preserve"> concentrations in rivers have enormous variations from less than 100 up to more than 10,000</w:t>
      </w:r>
      <w:r w:rsidR="00F44E9F" w:rsidRPr="007E209E">
        <w:t>.</w:t>
      </w:r>
      <w:r w:rsidRPr="007E209E">
        <w:t xml:space="preserve"> </w:t>
      </w:r>
      <w:r w:rsidR="00CA4FEA" w:rsidRPr="0009326C">
        <w:rPr>
          <w:i/>
        </w:rPr>
        <w:t>E.</w:t>
      </w:r>
      <w:r w:rsidR="00A252B6" w:rsidRPr="0009326C">
        <w:rPr>
          <w:i/>
        </w:rPr>
        <w:t xml:space="preserve"> </w:t>
      </w:r>
      <w:r w:rsidR="00CA4FEA" w:rsidRPr="0009326C">
        <w:rPr>
          <w:i/>
        </w:rPr>
        <w:t>col</w:t>
      </w:r>
      <w:r w:rsidR="00CA4FEA" w:rsidRPr="000B0320">
        <w:rPr>
          <w:i/>
        </w:rPr>
        <w:t>i</w:t>
      </w:r>
      <w:r w:rsidR="003E3C80" w:rsidRPr="007E209E">
        <w:t xml:space="preserve"> </w:t>
      </w:r>
      <w:r w:rsidR="004638A0" w:rsidRPr="007E209E">
        <w:t xml:space="preserve">are generally present in rivers </w:t>
      </w:r>
      <w:r w:rsidR="00C83074">
        <w:t>to some degree</w:t>
      </w:r>
      <w:r w:rsidR="003E3C80" w:rsidRPr="007E209E">
        <w:t xml:space="preserve">, </w:t>
      </w:r>
      <w:r w:rsidR="00C83074">
        <w:t>but</w:t>
      </w:r>
      <w:r w:rsidR="003E3C80" w:rsidRPr="007E209E">
        <w:t xml:space="preserve"> occasional</w:t>
      </w:r>
      <w:r w:rsidR="00CB23AE">
        <w:t>ly</w:t>
      </w:r>
      <w:r w:rsidR="00C83074">
        <w:t xml:space="preserve"> the</w:t>
      </w:r>
      <w:r w:rsidR="007F7EAF">
        <w:t>re</w:t>
      </w:r>
      <w:r w:rsidR="00C83074">
        <w:t xml:space="preserve"> </w:t>
      </w:r>
      <w:r w:rsidR="007F7EAF">
        <w:t>are</w:t>
      </w:r>
      <w:r w:rsidR="003E3C80" w:rsidRPr="007E209E">
        <w:t xml:space="preserve"> large spikes</w:t>
      </w:r>
      <w:r w:rsidR="007F7EAF">
        <w:t xml:space="preserve"> in the amount of </w:t>
      </w:r>
      <w:r w:rsidR="007F7EAF" w:rsidRPr="00057AC1">
        <w:rPr>
          <w:i/>
        </w:rPr>
        <w:t>E. coli</w:t>
      </w:r>
      <w:r w:rsidR="003E3C80" w:rsidRPr="007E209E">
        <w:t xml:space="preserve">. </w:t>
      </w:r>
      <w:r w:rsidR="00F44E9F" w:rsidRPr="007E209E">
        <w:t xml:space="preserve">This means </w:t>
      </w:r>
      <w:r w:rsidR="00971CDD">
        <w:t>the</w:t>
      </w:r>
      <w:r w:rsidR="00F44E9F" w:rsidRPr="007E209E">
        <w:t xml:space="preserve"> infection risk </w:t>
      </w:r>
      <w:r w:rsidR="00971CDD">
        <w:t>can change over time with</w:t>
      </w:r>
      <w:r w:rsidR="00F44E9F" w:rsidRPr="007E209E">
        <w:t xml:space="preserve"> spikes in </w:t>
      </w:r>
      <w:r w:rsidR="00F44E9F" w:rsidRPr="00057AC1">
        <w:rPr>
          <w:i/>
        </w:rPr>
        <w:t>E. col</w:t>
      </w:r>
      <w:r w:rsidR="00F44E9F" w:rsidRPr="007E209E">
        <w:t xml:space="preserve">i concentrations </w:t>
      </w:r>
      <w:r w:rsidR="00971CDD">
        <w:t>causing higher</w:t>
      </w:r>
      <w:r w:rsidR="00F44E9F" w:rsidRPr="007E209E">
        <w:t xml:space="preserve"> risk on occasion. </w:t>
      </w:r>
    </w:p>
    <w:p w:rsidR="003E3C80" w:rsidRDefault="00673EB7" w:rsidP="003E3C80">
      <w:pPr>
        <w:pStyle w:val="BodyText"/>
      </w:pPr>
      <w:r>
        <w:t>The way the swimming categories are measured (described in more detail in the section below) is designed to address a range of</w:t>
      </w:r>
      <w:r w:rsidR="00C329DA">
        <w:t xml:space="preserve"> ways of looking at the health risk, including:</w:t>
      </w:r>
    </w:p>
    <w:p w:rsidR="00C329DA" w:rsidRDefault="00C329DA" w:rsidP="00267374">
      <w:pPr>
        <w:pStyle w:val="Bullet"/>
        <w:keepLines w:val="0"/>
        <w:numPr>
          <w:ilvl w:val="0"/>
          <w:numId w:val="20"/>
        </w:numPr>
        <w:tabs>
          <w:tab w:val="left" w:pos="397"/>
        </w:tabs>
        <w:spacing w:before="0" w:line="280" w:lineRule="exact"/>
        <w:ind w:left="397" w:hanging="397"/>
        <w:jc w:val="left"/>
      </w:pPr>
      <w:r>
        <w:t xml:space="preserve">how often </w:t>
      </w:r>
      <w:r w:rsidR="00CA4FEA" w:rsidRPr="00CA4FEA">
        <w:rPr>
          <w:i/>
        </w:rPr>
        <w:t>E.</w:t>
      </w:r>
      <w:r w:rsidR="00A252B6">
        <w:rPr>
          <w:i/>
        </w:rPr>
        <w:t xml:space="preserve"> </w:t>
      </w:r>
      <w:r w:rsidR="00CA4FEA" w:rsidRPr="00CA4FEA">
        <w:rPr>
          <w:i/>
        </w:rPr>
        <w:t>coli</w:t>
      </w:r>
      <w:r>
        <w:t xml:space="preserve"> levels spike over the </w:t>
      </w:r>
      <w:r w:rsidR="008D5CD3">
        <w:t xml:space="preserve">acceptable </w:t>
      </w:r>
      <w:r>
        <w:t>threshold</w:t>
      </w:r>
    </w:p>
    <w:p w:rsidR="00C329DA" w:rsidRDefault="00C329DA" w:rsidP="00267374">
      <w:pPr>
        <w:pStyle w:val="Bullet"/>
        <w:keepLines w:val="0"/>
        <w:numPr>
          <w:ilvl w:val="0"/>
          <w:numId w:val="20"/>
        </w:numPr>
        <w:tabs>
          <w:tab w:val="left" w:pos="397"/>
        </w:tabs>
        <w:spacing w:before="0" w:line="280" w:lineRule="exact"/>
        <w:ind w:left="397" w:hanging="397"/>
        <w:jc w:val="left"/>
      </w:pPr>
      <w:r>
        <w:t xml:space="preserve">how high the </w:t>
      </w:r>
      <w:r w:rsidRPr="00267374">
        <w:rPr>
          <w:rFonts w:eastAsia="Times New Roman" w:cs="Times New Roman"/>
          <w:szCs w:val="20"/>
        </w:rPr>
        <w:t>spikes</w:t>
      </w:r>
      <w:r>
        <w:t xml:space="preserve"> get</w:t>
      </w:r>
    </w:p>
    <w:p w:rsidR="00C329DA" w:rsidRDefault="00C329DA" w:rsidP="00267374">
      <w:pPr>
        <w:pStyle w:val="Bullet"/>
        <w:keepLines w:val="0"/>
        <w:numPr>
          <w:ilvl w:val="0"/>
          <w:numId w:val="20"/>
        </w:numPr>
        <w:tabs>
          <w:tab w:val="left" w:pos="397"/>
        </w:tabs>
        <w:spacing w:before="0" w:line="280" w:lineRule="exact"/>
        <w:ind w:left="397" w:hanging="397"/>
        <w:jc w:val="left"/>
      </w:pPr>
      <w:r>
        <w:t xml:space="preserve">what the </w:t>
      </w:r>
      <w:r w:rsidRPr="00267374">
        <w:rPr>
          <w:rFonts w:eastAsia="Times New Roman" w:cs="Times New Roman"/>
          <w:szCs w:val="20"/>
        </w:rPr>
        <w:t>baseline</w:t>
      </w:r>
      <w:r>
        <w:t xml:space="preserve"> level of </w:t>
      </w:r>
      <w:r w:rsidR="00CA4FEA" w:rsidRPr="00CA4FEA">
        <w:rPr>
          <w:i/>
        </w:rPr>
        <w:t>E.</w:t>
      </w:r>
      <w:r w:rsidR="00A252B6">
        <w:rPr>
          <w:i/>
        </w:rPr>
        <w:t xml:space="preserve"> </w:t>
      </w:r>
      <w:r w:rsidR="00CA4FEA" w:rsidRPr="00CA4FEA">
        <w:rPr>
          <w:i/>
        </w:rPr>
        <w:t>coli</w:t>
      </w:r>
      <w:r>
        <w:t xml:space="preserve"> is when it is not spiking.</w:t>
      </w:r>
    </w:p>
    <w:p w:rsidR="002C392D" w:rsidRDefault="002C392D" w:rsidP="00262001">
      <w:pPr>
        <w:pStyle w:val="Heading2"/>
      </w:pPr>
      <w:bookmarkStart w:id="23" w:name="_Toc482112350"/>
      <w:r>
        <w:t xml:space="preserve">The statistical </w:t>
      </w:r>
      <w:bookmarkEnd w:id="21"/>
      <w:r w:rsidR="00D64322">
        <w:t>measures</w:t>
      </w:r>
      <w:bookmarkEnd w:id="23"/>
    </w:p>
    <w:p w:rsidR="00A4551B" w:rsidRDefault="0027785D" w:rsidP="002C392D">
      <w:pPr>
        <w:pStyle w:val="BodyText"/>
      </w:pPr>
      <w:r>
        <w:t xml:space="preserve">There are </w:t>
      </w:r>
      <w:r w:rsidR="00556111">
        <w:t>a number of</w:t>
      </w:r>
      <w:r>
        <w:t xml:space="preserve"> statistical </w:t>
      </w:r>
      <w:r w:rsidR="00C7674E">
        <w:t>measures</w:t>
      </w:r>
      <w:r>
        <w:t xml:space="preserve"> </w:t>
      </w:r>
      <w:r w:rsidR="00F42BE0">
        <w:t xml:space="preserve">proposed </w:t>
      </w:r>
      <w:r>
        <w:t xml:space="preserve">for determining which category a river would fall within. </w:t>
      </w:r>
      <w:r w:rsidR="00FE1EB0">
        <w:t xml:space="preserve">These are listed in </w:t>
      </w:r>
      <w:r w:rsidR="00CB23AE">
        <w:t xml:space="preserve">table </w:t>
      </w:r>
      <w:r w:rsidR="00E411CB">
        <w:t>3</w:t>
      </w:r>
      <w:r w:rsidR="00AF7313">
        <w:t>.</w:t>
      </w:r>
      <w:r w:rsidR="001466A0">
        <w:t xml:space="preserve"> </w:t>
      </w:r>
    </w:p>
    <w:p w:rsidR="00FE1EB0" w:rsidRDefault="00FE1EB0" w:rsidP="00FE1EB0">
      <w:pPr>
        <w:pStyle w:val="BodyText"/>
      </w:pPr>
    </w:p>
    <w:p w:rsidR="00A71CCB" w:rsidRDefault="002D7317" w:rsidP="008A688D">
      <w:pPr>
        <w:pStyle w:val="Tableheading0"/>
        <w:ind w:left="993" w:hanging="993"/>
      </w:pPr>
      <w:r>
        <w:lastRenderedPageBreak/>
        <w:t xml:space="preserve">Table </w:t>
      </w:r>
      <w:r w:rsidR="00E411CB">
        <w:t>3</w:t>
      </w:r>
      <w:r w:rsidR="008A688D">
        <w:t>:</w:t>
      </w:r>
      <w:r w:rsidR="008A688D">
        <w:tab/>
      </w:r>
      <w:r>
        <w:t xml:space="preserve">The </w:t>
      </w:r>
      <w:r w:rsidR="00D64322">
        <w:t>statistical measures for swimming categories</w:t>
      </w:r>
      <w:r>
        <w:t xml:space="preserve"> </w:t>
      </w:r>
    </w:p>
    <w:tbl>
      <w:tblPr>
        <w:tblW w:w="9364" w:type="dxa"/>
        <w:tblLayout w:type="fixed"/>
        <w:tblCellMar>
          <w:left w:w="0" w:type="dxa"/>
          <w:right w:w="0" w:type="dxa"/>
        </w:tblCellMar>
        <w:tblLook w:val="04A0" w:firstRow="1" w:lastRow="0" w:firstColumn="1" w:lastColumn="0" w:noHBand="0" w:noVBand="1"/>
      </w:tblPr>
      <w:tblGrid>
        <w:gridCol w:w="1426"/>
        <w:gridCol w:w="2126"/>
        <w:gridCol w:w="1843"/>
        <w:gridCol w:w="1843"/>
        <w:gridCol w:w="2126"/>
      </w:tblGrid>
      <w:tr w:rsidR="000204E5" w:rsidRPr="00B3536E" w:rsidTr="00986F5C">
        <w:trPr>
          <w:trHeight w:val="20"/>
          <w:tblHeader/>
        </w:trPr>
        <w:tc>
          <w:tcPr>
            <w:tcW w:w="1426" w:type="dxa"/>
            <w:tcBorders>
              <w:top w:val="single" w:sz="6" w:space="0" w:color="1C556C"/>
              <w:right w:val="single" w:sz="6" w:space="0" w:color="1C556C"/>
            </w:tcBorders>
            <w:shd w:val="clear" w:color="auto" w:fill="1C556C"/>
            <w:tcMar>
              <w:top w:w="120" w:type="dxa"/>
              <w:left w:w="150" w:type="dxa"/>
              <w:bottom w:w="120" w:type="dxa"/>
              <w:right w:w="150" w:type="dxa"/>
            </w:tcMar>
            <w:vAlign w:val="center"/>
            <w:hideMark/>
          </w:tcPr>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Category</w:t>
            </w:r>
          </w:p>
        </w:tc>
        <w:tc>
          <w:tcPr>
            <w:tcW w:w="2126" w:type="dxa"/>
            <w:tcBorders>
              <w:top w:val="single" w:sz="6" w:space="0" w:color="1C556C"/>
              <w:left w:val="single" w:sz="6" w:space="0" w:color="1C556C"/>
              <w:right w:val="single" w:sz="6" w:space="0" w:color="1C556C"/>
            </w:tcBorders>
            <w:shd w:val="clear" w:color="auto" w:fill="1C556C"/>
            <w:tcMar>
              <w:top w:w="120" w:type="dxa"/>
              <w:left w:w="150" w:type="dxa"/>
              <w:bottom w:w="120" w:type="dxa"/>
              <w:right w:w="150" w:type="dxa"/>
            </w:tcMar>
            <w:vAlign w:val="center"/>
            <w:hideMark/>
          </w:tcPr>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Per</w:t>
            </w:r>
            <w:r w:rsidR="00AE27C7">
              <w:rPr>
                <w:rFonts w:cs="Times New Roman"/>
                <w:color w:val="FFFFFF" w:themeColor="background1"/>
                <w:szCs w:val="20"/>
              </w:rPr>
              <w:t>centage of exceedances over 540</w:t>
            </w:r>
          </w:p>
          <w:p w:rsidR="000204E5" w:rsidRPr="00B3536E" w:rsidRDefault="00CA4FEA" w:rsidP="00B3536E">
            <w:pPr>
              <w:pStyle w:val="TableTextbold"/>
              <w:rPr>
                <w:rFonts w:cs="Times New Roman"/>
                <w:color w:val="FFFFFF" w:themeColor="background1"/>
                <w:szCs w:val="20"/>
              </w:rPr>
            </w:pPr>
            <w:r w:rsidRPr="00057AC1">
              <w:rPr>
                <w:rFonts w:cs="Times New Roman"/>
                <w:i/>
                <w:color w:val="FFFFFF" w:themeColor="background1"/>
                <w:szCs w:val="20"/>
              </w:rPr>
              <w:t>E.</w:t>
            </w:r>
            <w:r w:rsidR="00A252B6" w:rsidRPr="00057AC1">
              <w:rPr>
                <w:rFonts w:cs="Times New Roman"/>
                <w:i/>
                <w:color w:val="FFFFFF" w:themeColor="background1"/>
                <w:szCs w:val="20"/>
              </w:rPr>
              <w:t xml:space="preserve"> </w:t>
            </w:r>
            <w:r w:rsidRPr="00057AC1">
              <w:rPr>
                <w:rFonts w:cs="Times New Roman"/>
                <w:i/>
                <w:color w:val="FFFFFF" w:themeColor="background1"/>
                <w:szCs w:val="20"/>
              </w:rPr>
              <w:t>col</w:t>
            </w:r>
            <w:r w:rsidRPr="00B3536E">
              <w:rPr>
                <w:rFonts w:cs="Times New Roman"/>
                <w:color w:val="FFFFFF" w:themeColor="background1"/>
                <w:szCs w:val="20"/>
              </w:rPr>
              <w:t>i</w:t>
            </w:r>
            <w:r w:rsidR="000204E5" w:rsidRPr="00B3536E">
              <w:rPr>
                <w:rFonts w:cs="Times New Roman"/>
                <w:color w:val="FFFFFF" w:themeColor="background1"/>
                <w:szCs w:val="20"/>
              </w:rPr>
              <w:t xml:space="preserve"> per 100 ml</w:t>
            </w:r>
          </w:p>
        </w:tc>
        <w:tc>
          <w:tcPr>
            <w:tcW w:w="1843" w:type="dxa"/>
            <w:tcBorders>
              <w:top w:val="single" w:sz="6" w:space="0" w:color="1C556C"/>
              <w:left w:val="single" w:sz="6" w:space="0" w:color="1C556C"/>
              <w:right w:val="single" w:sz="6" w:space="0" w:color="1C556C"/>
            </w:tcBorders>
            <w:shd w:val="clear" w:color="auto" w:fill="1C556C"/>
            <w:tcMar>
              <w:top w:w="120" w:type="dxa"/>
              <w:left w:w="150" w:type="dxa"/>
              <w:bottom w:w="120" w:type="dxa"/>
              <w:right w:w="150" w:type="dxa"/>
            </w:tcMar>
            <w:vAlign w:val="center"/>
            <w:hideMark/>
          </w:tcPr>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Median:</w:t>
            </w:r>
          </w:p>
          <w:p w:rsidR="000204E5" w:rsidRPr="00B3536E" w:rsidRDefault="00CA4FEA" w:rsidP="00B3536E">
            <w:pPr>
              <w:pStyle w:val="TableTextbold"/>
              <w:rPr>
                <w:rFonts w:cs="Times New Roman"/>
                <w:color w:val="FFFFFF" w:themeColor="background1"/>
                <w:szCs w:val="20"/>
              </w:rPr>
            </w:pPr>
            <w:r w:rsidRPr="00057AC1">
              <w:rPr>
                <w:rFonts w:cs="Times New Roman"/>
                <w:i/>
                <w:color w:val="FFFFFF" w:themeColor="background1"/>
                <w:szCs w:val="20"/>
              </w:rPr>
              <w:t>E.</w:t>
            </w:r>
            <w:r w:rsidR="00A252B6" w:rsidRPr="00057AC1">
              <w:rPr>
                <w:rFonts w:cs="Times New Roman"/>
                <w:i/>
                <w:color w:val="FFFFFF" w:themeColor="background1"/>
                <w:szCs w:val="20"/>
              </w:rPr>
              <w:t xml:space="preserve"> </w:t>
            </w:r>
            <w:r w:rsidRPr="00057AC1">
              <w:rPr>
                <w:rFonts w:cs="Times New Roman"/>
                <w:i/>
                <w:color w:val="FFFFFF" w:themeColor="background1"/>
                <w:szCs w:val="20"/>
              </w:rPr>
              <w:t>coli</w:t>
            </w:r>
            <w:r w:rsidR="000204E5" w:rsidRPr="00B3536E">
              <w:rPr>
                <w:rFonts w:cs="Times New Roman"/>
                <w:color w:val="FFFFFF" w:themeColor="background1"/>
                <w:szCs w:val="20"/>
              </w:rPr>
              <w:t xml:space="preserve"> per </w:t>
            </w:r>
          </w:p>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100 ml</w:t>
            </w:r>
          </w:p>
        </w:tc>
        <w:tc>
          <w:tcPr>
            <w:tcW w:w="1843" w:type="dxa"/>
            <w:tcBorders>
              <w:top w:val="single" w:sz="6" w:space="0" w:color="1C556C"/>
              <w:left w:val="single" w:sz="6" w:space="0" w:color="1C556C"/>
              <w:right w:val="single" w:sz="6" w:space="0" w:color="1C556C"/>
            </w:tcBorders>
            <w:shd w:val="clear" w:color="auto" w:fill="1C556C"/>
            <w:tcMar>
              <w:top w:w="120" w:type="dxa"/>
              <w:left w:w="150" w:type="dxa"/>
              <w:bottom w:w="120" w:type="dxa"/>
              <w:right w:w="150" w:type="dxa"/>
            </w:tcMar>
            <w:vAlign w:val="center"/>
            <w:hideMark/>
          </w:tcPr>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95th percentile:</w:t>
            </w:r>
          </w:p>
          <w:p w:rsidR="000204E5" w:rsidRPr="00B3536E" w:rsidRDefault="00CA4FEA" w:rsidP="00B3536E">
            <w:pPr>
              <w:pStyle w:val="TableTextbold"/>
              <w:rPr>
                <w:rFonts w:cs="Times New Roman"/>
                <w:color w:val="FFFFFF" w:themeColor="background1"/>
                <w:szCs w:val="20"/>
              </w:rPr>
            </w:pPr>
            <w:r w:rsidRPr="00057AC1">
              <w:rPr>
                <w:rFonts w:cs="Times New Roman"/>
                <w:i/>
                <w:color w:val="FFFFFF" w:themeColor="background1"/>
                <w:szCs w:val="20"/>
              </w:rPr>
              <w:t>E.</w:t>
            </w:r>
            <w:r w:rsidR="00A252B6" w:rsidRPr="00057AC1">
              <w:rPr>
                <w:rFonts w:cs="Times New Roman"/>
                <w:i/>
                <w:color w:val="FFFFFF" w:themeColor="background1"/>
                <w:szCs w:val="20"/>
              </w:rPr>
              <w:t xml:space="preserve"> </w:t>
            </w:r>
            <w:r w:rsidRPr="00057AC1">
              <w:rPr>
                <w:rFonts w:cs="Times New Roman"/>
                <w:i/>
                <w:color w:val="FFFFFF" w:themeColor="background1"/>
                <w:szCs w:val="20"/>
              </w:rPr>
              <w:t>coli</w:t>
            </w:r>
            <w:r w:rsidR="000204E5" w:rsidRPr="00057AC1">
              <w:rPr>
                <w:rFonts w:cs="Times New Roman"/>
                <w:i/>
                <w:color w:val="FFFFFF" w:themeColor="background1"/>
                <w:szCs w:val="20"/>
              </w:rPr>
              <w:t xml:space="preserve"> </w:t>
            </w:r>
            <w:r w:rsidR="000204E5" w:rsidRPr="00B3536E">
              <w:rPr>
                <w:rFonts w:cs="Times New Roman"/>
                <w:color w:val="FFFFFF" w:themeColor="background1"/>
                <w:szCs w:val="20"/>
              </w:rPr>
              <w:t xml:space="preserve">per </w:t>
            </w:r>
          </w:p>
          <w:p w:rsidR="000204E5" w:rsidRPr="00B3536E" w:rsidRDefault="000204E5" w:rsidP="00B3536E">
            <w:pPr>
              <w:pStyle w:val="TableTextbold"/>
              <w:rPr>
                <w:rFonts w:cs="Times New Roman"/>
                <w:color w:val="FFFFFF" w:themeColor="background1"/>
                <w:szCs w:val="20"/>
              </w:rPr>
            </w:pPr>
            <w:r w:rsidRPr="00B3536E">
              <w:rPr>
                <w:rFonts w:cs="Times New Roman"/>
                <w:color w:val="FFFFFF" w:themeColor="background1"/>
                <w:szCs w:val="20"/>
              </w:rPr>
              <w:t>100 ml</w:t>
            </w:r>
          </w:p>
        </w:tc>
        <w:tc>
          <w:tcPr>
            <w:tcW w:w="2126" w:type="dxa"/>
            <w:tcBorders>
              <w:top w:val="single" w:sz="6" w:space="0" w:color="1C556C"/>
              <w:left w:val="single" w:sz="6" w:space="0" w:color="1C556C"/>
            </w:tcBorders>
            <w:shd w:val="clear" w:color="auto" w:fill="1C556C"/>
            <w:tcMar>
              <w:top w:w="120" w:type="dxa"/>
              <w:left w:w="150" w:type="dxa"/>
              <w:bottom w:w="120" w:type="dxa"/>
              <w:right w:w="150" w:type="dxa"/>
            </w:tcMar>
            <w:vAlign w:val="center"/>
            <w:hideMark/>
          </w:tcPr>
          <w:p w:rsidR="000204E5" w:rsidRPr="00057AC1" w:rsidRDefault="000204E5" w:rsidP="00B3536E">
            <w:pPr>
              <w:pStyle w:val="TableTextbold"/>
              <w:rPr>
                <w:rFonts w:cs="Times New Roman"/>
                <w:i/>
                <w:color w:val="FFFFFF" w:themeColor="background1"/>
                <w:szCs w:val="20"/>
              </w:rPr>
            </w:pPr>
            <w:r w:rsidRPr="00B3536E">
              <w:rPr>
                <w:rFonts w:cs="Times New Roman"/>
                <w:color w:val="FFFFFF" w:themeColor="background1"/>
                <w:szCs w:val="20"/>
              </w:rPr>
              <w:t xml:space="preserve">Percentage of </w:t>
            </w:r>
            <w:r w:rsidR="00AE27C7">
              <w:rPr>
                <w:rFonts w:cs="Times New Roman"/>
                <w:i/>
                <w:color w:val="FFFFFF" w:themeColor="background1"/>
                <w:szCs w:val="20"/>
              </w:rPr>
              <w:t>samples above 260</w:t>
            </w:r>
            <w:r w:rsidRPr="00057AC1">
              <w:rPr>
                <w:rFonts w:cs="Times New Roman"/>
                <w:i/>
                <w:color w:val="FFFFFF" w:themeColor="background1"/>
                <w:szCs w:val="20"/>
              </w:rPr>
              <w:t xml:space="preserve"> </w:t>
            </w:r>
          </w:p>
          <w:p w:rsidR="000204E5" w:rsidRPr="00B3536E" w:rsidRDefault="00CA4FEA" w:rsidP="00B3536E">
            <w:pPr>
              <w:pStyle w:val="TableTextbold"/>
              <w:rPr>
                <w:rFonts w:cs="Times New Roman"/>
                <w:color w:val="FFFFFF" w:themeColor="background1"/>
                <w:szCs w:val="20"/>
              </w:rPr>
            </w:pPr>
            <w:r w:rsidRPr="00057AC1">
              <w:rPr>
                <w:rFonts w:cs="Times New Roman"/>
                <w:i/>
                <w:color w:val="FFFFFF" w:themeColor="background1"/>
                <w:szCs w:val="20"/>
              </w:rPr>
              <w:t>E</w:t>
            </w:r>
            <w:r w:rsidRPr="00B3536E">
              <w:rPr>
                <w:rFonts w:cs="Times New Roman"/>
                <w:color w:val="FFFFFF" w:themeColor="background1"/>
                <w:szCs w:val="20"/>
              </w:rPr>
              <w:t>.</w:t>
            </w:r>
            <w:r w:rsidR="00A252B6">
              <w:rPr>
                <w:rFonts w:cs="Times New Roman"/>
                <w:color w:val="FFFFFF" w:themeColor="background1"/>
                <w:szCs w:val="20"/>
              </w:rPr>
              <w:t xml:space="preserve"> </w:t>
            </w:r>
            <w:r w:rsidRPr="00680393">
              <w:rPr>
                <w:rFonts w:cs="Times New Roman"/>
                <w:i/>
                <w:color w:val="FFFFFF" w:themeColor="background1"/>
                <w:szCs w:val="20"/>
              </w:rPr>
              <w:t>coli</w:t>
            </w:r>
            <w:r w:rsidR="000204E5" w:rsidRPr="00B3536E">
              <w:rPr>
                <w:rFonts w:cs="Times New Roman"/>
                <w:color w:val="FFFFFF" w:themeColor="background1"/>
                <w:szCs w:val="20"/>
              </w:rPr>
              <w:t xml:space="preserve"> per 100 ml</w:t>
            </w:r>
          </w:p>
        </w:tc>
      </w:tr>
      <w:tr w:rsidR="0054452C" w:rsidRPr="00B3536E" w:rsidTr="00FF7E71">
        <w:trPr>
          <w:trHeight w:val="20"/>
          <w:tblHeader/>
        </w:trPr>
        <w:tc>
          <w:tcPr>
            <w:tcW w:w="1426" w:type="dxa"/>
            <w:tcBorders>
              <w:bottom w:val="single" w:sz="6" w:space="0" w:color="1C556C"/>
              <w:right w:val="single" w:sz="6" w:space="0" w:color="1C556C"/>
            </w:tcBorders>
            <w:shd w:val="clear" w:color="auto" w:fill="FFFFFF" w:themeFill="background1"/>
            <w:tcMar>
              <w:top w:w="0" w:type="dxa"/>
              <w:left w:w="150" w:type="dxa"/>
              <w:bottom w:w="0" w:type="dxa"/>
              <w:right w:w="150" w:type="dxa"/>
            </w:tcMar>
          </w:tcPr>
          <w:p w:rsidR="0054452C" w:rsidRPr="00B3536E" w:rsidRDefault="0054452C" w:rsidP="00B3536E">
            <w:pPr>
              <w:pStyle w:val="TableText"/>
              <w:spacing w:line="240" w:lineRule="atLeast"/>
              <w:jc w:val="left"/>
              <w:rPr>
                <w:rFonts w:cs="Times New Roman"/>
                <w:b/>
                <w:sz w:val="18"/>
                <w:szCs w:val="20"/>
              </w:rPr>
            </w:pPr>
            <w:r w:rsidRPr="00B3536E">
              <w:rPr>
                <w:rFonts w:cs="Times New Roman"/>
                <w:b/>
                <w:sz w:val="18"/>
                <w:szCs w:val="20"/>
              </w:rPr>
              <w:t>What it means</w:t>
            </w:r>
          </w:p>
        </w:tc>
        <w:tc>
          <w:tcPr>
            <w:tcW w:w="2126" w:type="dxa"/>
            <w:tcBorders>
              <w:left w:val="single" w:sz="6" w:space="0" w:color="1C556C"/>
              <w:bottom w:val="single" w:sz="6" w:space="0" w:color="1C556C"/>
              <w:right w:val="single" w:sz="6" w:space="0" w:color="1C556C"/>
            </w:tcBorders>
            <w:shd w:val="clear" w:color="auto" w:fill="FFFFFF" w:themeFill="background1"/>
            <w:tcMar>
              <w:top w:w="0" w:type="dxa"/>
              <w:left w:w="150" w:type="dxa"/>
              <w:bottom w:w="0" w:type="dxa"/>
              <w:right w:w="150" w:type="dxa"/>
            </w:tcMar>
          </w:tcPr>
          <w:p w:rsidR="0054452C" w:rsidRPr="00B3536E" w:rsidRDefault="0054452C" w:rsidP="00B3536E">
            <w:pPr>
              <w:pStyle w:val="TableText"/>
              <w:spacing w:line="240" w:lineRule="atLeast"/>
              <w:jc w:val="left"/>
              <w:rPr>
                <w:rFonts w:cs="Times New Roman"/>
                <w:i/>
                <w:sz w:val="18"/>
                <w:szCs w:val="20"/>
              </w:rPr>
            </w:pPr>
            <w:r w:rsidRPr="00B3536E">
              <w:rPr>
                <w:rFonts w:cs="Times New Roman"/>
                <w:i/>
                <w:sz w:val="18"/>
                <w:szCs w:val="20"/>
              </w:rPr>
              <w:t xml:space="preserve">How </w:t>
            </w:r>
            <w:r w:rsidR="008940E1" w:rsidRPr="00B3536E">
              <w:rPr>
                <w:rFonts w:cs="Times New Roman"/>
                <w:i/>
                <w:sz w:val="18"/>
                <w:szCs w:val="20"/>
              </w:rPr>
              <w:t>often</w:t>
            </w:r>
            <w:r w:rsidRPr="00B3536E">
              <w:rPr>
                <w:rFonts w:cs="Times New Roman"/>
                <w:i/>
                <w:sz w:val="18"/>
                <w:szCs w:val="20"/>
              </w:rPr>
              <w:t xml:space="preserve"> the river </w:t>
            </w:r>
            <w:r w:rsidR="006E0DC7" w:rsidRPr="00B3536E">
              <w:rPr>
                <w:rFonts w:cs="Times New Roman"/>
                <w:i/>
                <w:sz w:val="18"/>
                <w:szCs w:val="20"/>
              </w:rPr>
              <w:t xml:space="preserve">exceeds </w:t>
            </w:r>
            <w:r w:rsidRPr="00B3536E">
              <w:rPr>
                <w:rFonts w:cs="Times New Roman"/>
                <w:i/>
                <w:sz w:val="18"/>
                <w:szCs w:val="20"/>
              </w:rPr>
              <w:t xml:space="preserve">the </w:t>
            </w:r>
            <w:r w:rsidR="008D5CD3" w:rsidRPr="00B3536E">
              <w:rPr>
                <w:rFonts w:cs="Times New Roman"/>
                <w:i/>
                <w:sz w:val="18"/>
                <w:szCs w:val="20"/>
              </w:rPr>
              <w:t xml:space="preserve">acceptable </w:t>
            </w:r>
            <w:r w:rsidRPr="00B3536E">
              <w:rPr>
                <w:rFonts w:cs="Times New Roman"/>
                <w:i/>
                <w:sz w:val="18"/>
                <w:szCs w:val="20"/>
              </w:rPr>
              <w:t>threshold for swimming</w:t>
            </w:r>
          </w:p>
        </w:tc>
        <w:tc>
          <w:tcPr>
            <w:tcW w:w="1843" w:type="dxa"/>
            <w:tcBorders>
              <w:left w:val="single" w:sz="6" w:space="0" w:color="1C556C"/>
              <w:bottom w:val="single" w:sz="6" w:space="0" w:color="1C556C"/>
              <w:right w:val="single" w:sz="6" w:space="0" w:color="1C556C"/>
            </w:tcBorders>
            <w:shd w:val="clear" w:color="auto" w:fill="FFFFFF" w:themeFill="background1"/>
            <w:tcMar>
              <w:top w:w="0" w:type="dxa"/>
              <w:left w:w="150" w:type="dxa"/>
              <w:bottom w:w="0" w:type="dxa"/>
              <w:right w:w="150" w:type="dxa"/>
            </w:tcMar>
          </w:tcPr>
          <w:p w:rsidR="0054452C" w:rsidRPr="00B3536E" w:rsidRDefault="0054452C" w:rsidP="00A252B6">
            <w:pPr>
              <w:pStyle w:val="TableText"/>
              <w:spacing w:line="240" w:lineRule="atLeast"/>
              <w:jc w:val="left"/>
              <w:rPr>
                <w:rFonts w:cs="Times New Roman"/>
                <w:i/>
                <w:sz w:val="18"/>
                <w:szCs w:val="20"/>
              </w:rPr>
            </w:pPr>
            <w:r w:rsidRPr="00B3536E">
              <w:rPr>
                <w:rFonts w:cs="Times New Roman"/>
                <w:i/>
                <w:sz w:val="18"/>
                <w:szCs w:val="20"/>
              </w:rPr>
              <w:t xml:space="preserve">The mid-point (ie, half the time </w:t>
            </w:r>
            <w:r w:rsidR="00A252B6" w:rsidRPr="00680393">
              <w:rPr>
                <w:rFonts w:cs="Times New Roman"/>
                <w:i/>
                <w:sz w:val="18"/>
                <w:szCs w:val="20"/>
              </w:rPr>
              <w:t>E</w:t>
            </w:r>
            <w:r w:rsidRPr="00680393">
              <w:rPr>
                <w:rFonts w:cs="Times New Roman"/>
                <w:i/>
                <w:sz w:val="18"/>
                <w:szCs w:val="20"/>
              </w:rPr>
              <w:t>.</w:t>
            </w:r>
            <w:r w:rsidR="00A252B6">
              <w:rPr>
                <w:rFonts w:cs="Times New Roman"/>
                <w:i/>
                <w:sz w:val="18"/>
                <w:szCs w:val="20"/>
              </w:rPr>
              <w:t xml:space="preserve"> </w:t>
            </w:r>
            <w:r w:rsidRPr="00B3536E">
              <w:rPr>
                <w:rFonts w:cs="Times New Roman"/>
                <w:i/>
                <w:sz w:val="18"/>
                <w:szCs w:val="20"/>
              </w:rPr>
              <w:t>coli is lower than this, half the time it is higher)</w:t>
            </w:r>
          </w:p>
        </w:tc>
        <w:tc>
          <w:tcPr>
            <w:tcW w:w="1843" w:type="dxa"/>
            <w:tcBorders>
              <w:left w:val="single" w:sz="6" w:space="0" w:color="1C556C"/>
              <w:bottom w:val="single" w:sz="6" w:space="0" w:color="1C556C"/>
              <w:right w:val="single" w:sz="6" w:space="0" w:color="1C556C"/>
            </w:tcBorders>
            <w:shd w:val="clear" w:color="auto" w:fill="FFFFFF" w:themeFill="background1"/>
            <w:tcMar>
              <w:top w:w="0" w:type="dxa"/>
              <w:left w:w="150" w:type="dxa"/>
              <w:bottom w:w="0" w:type="dxa"/>
              <w:right w:w="150" w:type="dxa"/>
            </w:tcMar>
          </w:tcPr>
          <w:p w:rsidR="0054452C" w:rsidRPr="00B3536E" w:rsidRDefault="00CA4FEA" w:rsidP="00B3536E">
            <w:pPr>
              <w:pStyle w:val="TableText"/>
              <w:spacing w:line="240" w:lineRule="atLeast"/>
              <w:jc w:val="left"/>
              <w:rPr>
                <w:rFonts w:cs="Times New Roman"/>
                <w:i/>
                <w:sz w:val="18"/>
                <w:szCs w:val="20"/>
              </w:rPr>
            </w:pPr>
            <w:r w:rsidRPr="00B3536E">
              <w:rPr>
                <w:rFonts w:cs="Times New Roman"/>
                <w:i/>
                <w:sz w:val="18"/>
                <w:szCs w:val="20"/>
              </w:rPr>
              <w:t>E.</w:t>
            </w:r>
            <w:r w:rsidR="00A252B6">
              <w:rPr>
                <w:rFonts w:cs="Times New Roman"/>
                <w:i/>
                <w:sz w:val="18"/>
                <w:szCs w:val="20"/>
              </w:rPr>
              <w:t xml:space="preserve"> </w:t>
            </w:r>
            <w:r w:rsidRPr="00B3536E">
              <w:rPr>
                <w:rFonts w:cs="Times New Roman"/>
                <w:i/>
                <w:sz w:val="18"/>
                <w:szCs w:val="20"/>
              </w:rPr>
              <w:t>coli</w:t>
            </w:r>
            <w:r w:rsidR="0054452C" w:rsidRPr="00B3536E">
              <w:rPr>
                <w:rFonts w:cs="Times New Roman"/>
                <w:i/>
                <w:sz w:val="18"/>
                <w:szCs w:val="20"/>
              </w:rPr>
              <w:t xml:space="preserve"> </w:t>
            </w:r>
            <w:r w:rsidR="007D2444" w:rsidRPr="00B3536E">
              <w:rPr>
                <w:rFonts w:cs="Times New Roman"/>
                <w:i/>
                <w:sz w:val="18"/>
                <w:szCs w:val="20"/>
              </w:rPr>
              <w:t xml:space="preserve">only </w:t>
            </w:r>
            <w:r w:rsidR="0054452C" w:rsidRPr="00B3536E">
              <w:rPr>
                <w:rFonts w:cs="Times New Roman"/>
                <w:i/>
                <w:sz w:val="18"/>
                <w:szCs w:val="20"/>
              </w:rPr>
              <w:t>rarely goes past this point (only 5% of the time)</w:t>
            </w:r>
          </w:p>
        </w:tc>
        <w:tc>
          <w:tcPr>
            <w:tcW w:w="2126" w:type="dxa"/>
            <w:tcBorders>
              <w:left w:val="single" w:sz="6" w:space="0" w:color="1C556C"/>
              <w:bottom w:val="single" w:sz="6" w:space="0" w:color="1C556C"/>
            </w:tcBorders>
            <w:shd w:val="clear" w:color="auto" w:fill="FFFFFF" w:themeFill="background1"/>
            <w:tcMar>
              <w:top w:w="0" w:type="dxa"/>
              <w:left w:w="150" w:type="dxa"/>
              <w:bottom w:w="0" w:type="dxa"/>
              <w:right w:w="150" w:type="dxa"/>
            </w:tcMar>
          </w:tcPr>
          <w:p w:rsidR="0054452C" w:rsidRPr="00B3536E" w:rsidRDefault="008940E1" w:rsidP="00B3536E">
            <w:pPr>
              <w:pStyle w:val="TableText"/>
              <w:spacing w:line="240" w:lineRule="atLeast"/>
              <w:jc w:val="left"/>
              <w:rPr>
                <w:rFonts w:cs="Times New Roman"/>
                <w:i/>
                <w:sz w:val="18"/>
                <w:szCs w:val="20"/>
              </w:rPr>
            </w:pPr>
            <w:r w:rsidRPr="00B3536E">
              <w:rPr>
                <w:rFonts w:cs="Times New Roman"/>
                <w:i/>
                <w:sz w:val="18"/>
                <w:szCs w:val="20"/>
              </w:rPr>
              <w:t xml:space="preserve">How often the river goes over the point </w:t>
            </w:r>
            <w:r w:rsidR="007A1D8F" w:rsidRPr="00B3536E">
              <w:rPr>
                <w:rFonts w:cs="Times New Roman"/>
                <w:i/>
                <w:sz w:val="18"/>
                <w:szCs w:val="20"/>
              </w:rPr>
              <w:t>where additional monitoring is needed</w:t>
            </w:r>
          </w:p>
        </w:tc>
      </w:tr>
      <w:tr w:rsidR="008940E1" w:rsidRPr="009A54F2" w:rsidTr="00FF7E71">
        <w:trPr>
          <w:trHeight w:val="449"/>
        </w:trPr>
        <w:tc>
          <w:tcPr>
            <w:tcW w:w="1426" w:type="dxa"/>
            <w:tcBorders>
              <w:top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Excellent</w:t>
            </w:r>
            <w:r w:rsidR="001D2839">
              <w:rPr>
                <w:rFonts w:cs="Times New Roman"/>
                <w:sz w:val="18"/>
                <w:szCs w:val="20"/>
              </w:rPr>
              <w:t xml:space="preserve"> (Blue)</w:t>
            </w:r>
          </w:p>
        </w:tc>
        <w:tc>
          <w:tcPr>
            <w:tcW w:w="2126"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Less than 5 per cent</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130 or less</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540 or less</w:t>
            </w:r>
          </w:p>
        </w:tc>
        <w:tc>
          <w:tcPr>
            <w:tcW w:w="2126" w:type="dxa"/>
            <w:tcBorders>
              <w:top w:val="single" w:sz="6" w:space="0" w:color="1C556C"/>
              <w:left w:val="single" w:sz="6" w:space="0" w:color="1C556C"/>
              <w:bottom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Less than 20 per cent</w:t>
            </w:r>
          </w:p>
        </w:tc>
      </w:tr>
      <w:tr w:rsidR="008940E1" w:rsidRPr="002A73C7" w:rsidTr="00FF7E71">
        <w:trPr>
          <w:trHeight w:val="20"/>
        </w:trPr>
        <w:tc>
          <w:tcPr>
            <w:tcW w:w="1426" w:type="dxa"/>
            <w:tcBorders>
              <w:top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Good</w:t>
            </w:r>
            <w:r w:rsidR="001D2839">
              <w:rPr>
                <w:rFonts w:cs="Times New Roman"/>
                <w:sz w:val="18"/>
                <w:szCs w:val="20"/>
              </w:rPr>
              <w:t xml:space="preserve"> (Green)</w:t>
            </w:r>
          </w:p>
        </w:tc>
        <w:tc>
          <w:tcPr>
            <w:tcW w:w="2126"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5-10 per cent</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130 or less</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1000 or less</w:t>
            </w:r>
          </w:p>
        </w:tc>
        <w:tc>
          <w:tcPr>
            <w:tcW w:w="2126" w:type="dxa"/>
            <w:tcBorders>
              <w:top w:val="single" w:sz="6" w:space="0" w:color="1C556C"/>
              <w:left w:val="single" w:sz="6" w:space="0" w:color="1C556C"/>
              <w:bottom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20-30 per cent</w:t>
            </w:r>
          </w:p>
        </w:tc>
      </w:tr>
      <w:tr w:rsidR="008940E1" w:rsidRPr="002A73C7" w:rsidTr="00FF7E71">
        <w:trPr>
          <w:trHeight w:val="20"/>
        </w:trPr>
        <w:tc>
          <w:tcPr>
            <w:tcW w:w="1426" w:type="dxa"/>
            <w:tcBorders>
              <w:top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Fair</w:t>
            </w:r>
            <w:r w:rsidR="001D2839">
              <w:rPr>
                <w:rFonts w:cs="Times New Roman"/>
                <w:sz w:val="18"/>
                <w:szCs w:val="20"/>
              </w:rPr>
              <w:t xml:space="preserve"> (Yellow)</w:t>
            </w:r>
          </w:p>
        </w:tc>
        <w:tc>
          <w:tcPr>
            <w:tcW w:w="2126"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10-20 per cent</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130 or less</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1200 or less</w:t>
            </w:r>
          </w:p>
        </w:tc>
        <w:tc>
          <w:tcPr>
            <w:tcW w:w="2126" w:type="dxa"/>
            <w:tcBorders>
              <w:top w:val="single" w:sz="6" w:space="0" w:color="1C556C"/>
              <w:left w:val="single" w:sz="6" w:space="0" w:color="1C556C"/>
              <w:bottom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20-34 per cent</w:t>
            </w:r>
          </w:p>
        </w:tc>
      </w:tr>
      <w:tr w:rsidR="008940E1" w:rsidRPr="002A73C7" w:rsidTr="00FF7E71">
        <w:trPr>
          <w:trHeight w:val="20"/>
        </w:trPr>
        <w:tc>
          <w:tcPr>
            <w:tcW w:w="1426" w:type="dxa"/>
            <w:tcBorders>
              <w:top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Intermittent</w:t>
            </w:r>
            <w:r w:rsidR="001D2839">
              <w:rPr>
                <w:rFonts w:cs="Times New Roman"/>
                <w:sz w:val="18"/>
                <w:szCs w:val="20"/>
              </w:rPr>
              <w:t xml:space="preserve"> (Orange)</w:t>
            </w:r>
          </w:p>
        </w:tc>
        <w:tc>
          <w:tcPr>
            <w:tcW w:w="2126"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20-30 per cent</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130</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1200</w:t>
            </w:r>
          </w:p>
        </w:tc>
        <w:tc>
          <w:tcPr>
            <w:tcW w:w="2126" w:type="dxa"/>
            <w:tcBorders>
              <w:top w:val="single" w:sz="6" w:space="0" w:color="1C556C"/>
              <w:left w:val="single" w:sz="6" w:space="0" w:color="1C556C"/>
              <w:bottom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34 per cent</w:t>
            </w:r>
          </w:p>
        </w:tc>
      </w:tr>
      <w:tr w:rsidR="008940E1" w:rsidRPr="002A73C7" w:rsidTr="00FF7E71">
        <w:trPr>
          <w:trHeight w:val="20"/>
        </w:trPr>
        <w:tc>
          <w:tcPr>
            <w:tcW w:w="1426" w:type="dxa"/>
            <w:tcBorders>
              <w:top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Poor</w:t>
            </w:r>
            <w:r w:rsidR="001D2839">
              <w:rPr>
                <w:rFonts w:cs="Times New Roman"/>
                <w:sz w:val="18"/>
                <w:szCs w:val="20"/>
              </w:rPr>
              <w:t xml:space="preserve"> (Red)</w:t>
            </w:r>
          </w:p>
        </w:tc>
        <w:tc>
          <w:tcPr>
            <w:tcW w:w="2126"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30 per cent</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260</w:t>
            </w:r>
          </w:p>
        </w:tc>
        <w:tc>
          <w:tcPr>
            <w:tcW w:w="1843" w:type="dxa"/>
            <w:tcBorders>
              <w:top w:val="single" w:sz="6" w:space="0" w:color="1C556C"/>
              <w:left w:val="single" w:sz="6" w:space="0" w:color="1C556C"/>
              <w:bottom w:val="single" w:sz="6" w:space="0" w:color="1C556C"/>
              <w:right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1200</w:t>
            </w:r>
          </w:p>
        </w:tc>
        <w:tc>
          <w:tcPr>
            <w:tcW w:w="2126" w:type="dxa"/>
            <w:tcBorders>
              <w:top w:val="single" w:sz="6" w:space="0" w:color="1C556C"/>
              <w:left w:val="single" w:sz="6" w:space="0" w:color="1C556C"/>
              <w:bottom w:val="single" w:sz="6" w:space="0" w:color="1C556C"/>
            </w:tcBorders>
            <w:shd w:val="clear" w:color="auto" w:fill="FFFFFF" w:themeFill="background1"/>
            <w:tcMar>
              <w:top w:w="0" w:type="dxa"/>
              <w:left w:w="225" w:type="dxa"/>
              <w:bottom w:w="0" w:type="dxa"/>
              <w:right w:w="225" w:type="dxa"/>
            </w:tcMar>
            <w:hideMark/>
          </w:tcPr>
          <w:p w:rsidR="008940E1" w:rsidRPr="00B3536E" w:rsidRDefault="008940E1" w:rsidP="00B3536E">
            <w:pPr>
              <w:pStyle w:val="TableText"/>
              <w:spacing w:line="240" w:lineRule="atLeast"/>
              <w:jc w:val="left"/>
              <w:rPr>
                <w:rFonts w:cs="Times New Roman"/>
                <w:sz w:val="18"/>
                <w:szCs w:val="20"/>
              </w:rPr>
            </w:pPr>
            <w:r w:rsidRPr="00B3536E">
              <w:rPr>
                <w:rFonts w:cs="Times New Roman"/>
                <w:sz w:val="18"/>
                <w:szCs w:val="20"/>
              </w:rPr>
              <w:t>More than 50 per cent</w:t>
            </w:r>
            <w:bookmarkStart w:id="24" w:name="explanation"/>
            <w:bookmarkEnd w:id="24"/>
          </w:p>
        </w:tc>
      </w:tr>
    </w:tbl>
    <w:p w:rsidR="00EC6834" w:rsidRDefault="00EC6834" w:rsidP="00262001">
      <w:pPr>
        <w:pStyle w:val="Heading3"/>
      </w:pPr>
      <w:bookmarkStart w:id="25" w:name="_Toc479073463"/>
      <w:r>
        <w:t>Percentage of exceedances over 540</w:t>
      </w:r>
      <w:bookmarkEnd w:id="25"/>
      <w:r>
        <w:t xml:space="preserve"> </w:t>
      </w:r>
    </w:p>
    <w:p w:rsidR="0057604C" w:rsidRDefault="001E3DB4" w:rsidP="001E3DB4">
      <w:pPr>
        <w:pStyle w:val="BodyText"/>
      </w:pPr>
      <w:r>
        <w:t xml:space="preserve">The percentage of exceedances over 540 tells you how often the level of </w:t>
      </w:r>
      <w:r w:rsidR="00CA4FEA" w:rsidRPr="00CA4FEA">
        <w:rPr>
          <w:i/>
        </w:rPr>
        <w:t>E.</w:t>
      </w:r>
      <w:r w:rsidR="00A252B6">
        <w:rPr>
          <w:i/>
        </w:rPr>
        <w:t xml:space="preserve"> </w:t>
      </w:r>
      <w:r w:rsidR="00CA4FEA" w:rsidRPr="00CA4FEA">
        <w:rPr>
          <w:i/>
        </w:rPr>
        <w:t>coli</w:t>
      </w:r>
      <w:r>
        <w:t xml:space="preserve"> goes over the threshold of what is considered </w:t>
      </w:r>
      <w:r w:rsidR="008D5CD3">
        <w:t>acceptable</w:t>
      </w:r>
      <w:r w:rsidR="0057604C">
        <w:t xml:space="preserve">. </w:t>
      </w:r>
      <w:r>
        <w:t>T</w:t>
      </w:r>
      <w:r w:rsidRPr="001E3DB4">
        <w:t>his tells you how likely it is that</w:t>
      </w:r>
      <w:r>
        <w:t>,</w:t>
      </w:r>
      <w:r w:rsidRPr="001E3DB4">
        <w:t xml:space="preserve"> if you </w:t>
      </w:r>
      <w:r>
        <w:t xml:space="preserve">were to </w:t>
      </w:r>
      <w:r w:rsidRPr="001E3DB4">
        <w:t xml:space="preserve">go swimming on any given day, </w:t>
      </w:r>
      <w:r w:rsidR="00CA4FEA" w:rsidRPr="00CA4FEA">
        <w:rPr>
          <w:i/>
        </w:rPr>
        <w:t>E.</w:t>
      </w:r>
      <w:r w:rsidR="00A252B6">
        <w:rPr>
          <w:i/>
        </w:rPr>
        <w:t xml:space="preserve"> </w:t>
      </w:r>
      <w:r w:rsidR="00CA4FEA" w:rsidRPr="00CA4FEA">
        <w:rPr>
          <w:i/>
        </w:rPr>
        <w:t>coli</w:t>
      </w:r>
      <w:r w:rsidRPr="001E3DB4">
        <w:t xml:space="preserve"> levels will be low enough that your infection risk is within </w:t>
      </w:r>
      <w:r w:rsidR="001D2839">
        <w:t>an</w:t>
      </w:r>
      <w:r w:rsidR="001D2839" w:rsidRPr="001E3DB4">
        <w:t xml:space="preserve"> </w:t>
      </w:r>
      <w:r w:rsidR="008D5CD3">
        <w:t>acceptable</w:t>
      </w:r>
      <w:r w:rsidR="008D5CD3" w:rsidRPr="001E3DB4">
        <w:t xml:space="preserve"> </w:t>
      </w:r>
      <w:r w:rsidRPr="001E3DB4">
        <w:t>range.</w:t>
      </w:r>
    </w:p>
    <w:p w:rsidR="00EC6834" w:rsidRDefault="00262D77" w:rsidP="00262001">
      <w:pPr>
        <w:pStyle w:val="Heading3"/>
      </w:pPr>
      <w:bookmarkStart w:id="26" w:name="_Toc479073464"/>
      <w:r>
        <w:t>Median</w:t>
      </w:r>
      <w:bookmarkEnd w:id="26"/>
      <w:r w:rsidR="00EC6834" w:rsidRPr="00EC6834">
        <w:t xml:space="preserve"> </w:t>
      </w:r>
    </w:p>
    <w:p w:rsidR="00F44E9F" w:rsidRDefault="00A64525" w:rsidP="00A64525">
      <w:pPr>
        <w:pStyle w:val="BodyText"/>
      </w:pPr>
      <w:r>
        <w:t xml:space="preserve">The median </w:t>
      </w:r>
      <w:r w:rsidR="00CA4FEA" w:rsidRPr="00CA4FEA">
        <w:rPr>
          <w:i/>
        </w:rPr>
        <w:t>E.</w:t>
      </w:r>
      <w:r w:rsidR="00A252B6">
        <w:rPr>
          <w:i/>
        </w:rPr>
        <w:t xml:space="preserve"> </w:t>
      </w:r>
      <w:r w:rsidR="00CA4FEA" w:rsidRPr="00CA4FEA">
        <w:rPr>
          <w:i/>
        </w:rPr>
        <w:t>coli</w:t>
      </w:r>
      <w:r>
        <w:t xml:space="preserve"> level shows the</w:t>
      </w:r>
      <w:r w:rsidR="008A615E">
        <w:t xml:space="preserve"> mid</w:t>
      </w:r>
      <w:r w:rsidR="00680393">
        <w:t>-</w:t>
      </w:r>
      <w:r w:rsidR="008A615E">
        <w:t xml:space="preserve">point in the range of </w:t>
      </w:r>
      <w:r w:rsidR="00CA4FEA" w:rsidRPr="00CA4FEA">
        <w:rPr>
          <w:i/>
        </w:rPr>
        <w:t>E.</w:t>
      </w:r>
      <w:r w:rsidR="00A252B6">
        <w:rPr>
          <w:i/>
        </w:rPr>
        <w:t xml:space="preserve"> </w:t>
      </w:r>
      <w:r w:rsidR="00CA4FEA" w:rsidRPr="00CA4FEA">
        <w:rPr>
          <w:i/>
        </w:rPr>
        <w:t>coli</w:t>
      </w:r>
      <w:r w:rsidR="008A615E">
        <w:t xml:space="preserve"> that would be found in that category. </w:t>
      </w:r>
    </w:p>
    <w:p w:rsidR="00F44E9F" w:rsidRDefault="00F44E9F" w:rsidP="00A64525">
      <w:pPr>
        <w:pStyle w:val="BodyText"/>
      </w:pPr>
      <w:r>
        <w:t xml:space="preserve">For all the categories considered swimmable (excellent, good and fair), the median is required to be less than 130 </w:t>
      </w:r>
      <w:r w:rsidRPr="00F44E9F">
        <w:rPr>
          <w:i/>
        </w:rPr>
        <w:t>E. coli</w:t>
      </w:r>
      <w:r>
        <w:t xml:space="preserve"> per 100</w:t>
      </w:r>
      <w:r w:rsidR="00B75B86">
        <w:t xml:space="preserve"> </w:t>
      </w:r>
      <w:r>
        <w:t xml:space="preserve">ml. This is based on a </w:t>
      </w:r>
      <w:r w:rsidR="00D265A6" w:rsidRPr="00D265A6">
        <w:t>quantitative microbial risk assessment</w:t>
      </w:r>
      <w:r w:rsidR="00D265A6">
        <w:t xml:space="preserve"> (the following chapter </w:t>
      </w:r>
      <w:r w:rsidR="006104C3">
        <w:t xml:space="preserve">talks more about what that means), which determined that at </w:t>
      </w:r>
      <w:r w:rsidR="006104C3" w:rsidRPr="006104C3">
        <w:t xml:space="preserve">130 </w:t>
      </w:r>
      <w:r w:rsidR="006104C3" w:rsidRPr="006104C3">
        <w:rPr>
          <w:i/>
        </w:rPr>
        <w:t>E. coli</w:t>
      </w:r>
      <w:r w:rsidR="006104C3" w:rsidRPr="006104C3">
        <w:t xml:space="preserve"> per 100 ml, the infection risk is less than 0.1 </w:t>
      </w:r>
      <w:r w:rsidR="00191B45">
        <w:t>per cent</w:t>
      </w:r>
      <w:r w:rsidR="00191B45" w:rsidRPr="006104C3">
        <w:t xml:space="preserve"> </w:t>
      </w:r>
      <w:r w:rsidR="006104C3" w:rsidRPr="006104C3">
        <w:t>(or less than one infection in 1000 exposures).</w:t>
      </w:r>
      <w:r w:rsidR="006104C3">
        <w:t xml:space="preserve"> That means</w:t>
      </w:r>
      <w:r w:rsidR="006104C3" w:rsidRPr="006104C3">
        <w:t xml:space="preserve"> rivers with median </w:t>
      </w:r>
      <w:r w:rsidR="006104C3" w:rsidRPr="006104C3">
        <w:rPr>
          <w:i/>
        </w:rPr>
        <w:t>E. coli</w:t>
      </w:r>
      <w:r w:rsidR="006104C3" w:rsidRPr="006104C3">
        <w:t xml:space="preserve"> values of less than or equal to 130 </w:t>
      </w:r>
      <w:r w:rsidR="006104C3" w:rsidRPr="006104C3">
        <w:rPr>
          <w:i/>
        </w:rPr>
        <w:t>E. coli</w:t>
      </w:r>
      <w:r w:rsidR="006104C3" w:rsidRPr="006104C3">
        <w:t xml:space="preserve"> per 100 ml have low risk for at least 50</w:t>
      </w:r>
      <w:r w:rsidR="00191B45">
        <w:t xml:space="preserve"> per cent</w:t>
      </w:r>
      <w:r w:rsidR="00191B45" w:rsidRPr="006104C3">
        <w:t xml:space="preserve"> </w:t>
      </w:r>
      <w:r w:rsidR="006104C3" w:rsidRPr="006104C3">
        <w:t>of the time</w:t>
      </w:r>
      <w:r w:rsidR="006104C3">
        <w:t>.</w:t>
      </w:r>
    </w:p>
    <w:p w:rsidR="00EC6834" w:rsidRDefault="00EC6834" w:rsidP="00262001">
      <w:pPr>
        <w:pStyle w:val="Heading3"/>
      </w:pPr>
      <w:bookmarkStart w:id="27" w:name="_Toc479073465"/>
      <w:r>
        <w:t>95</w:t>
      </w:r>
      <w:r w:rsidRPr="00262D77">
        <w:rPr>
          <w:vertAlign w:val="superscript"/>
        </w:rPr>
        <w:t>th</w:t>
      </w:r>
      <w:r>
        <w:t xml:space="preserve"> percentile</w:t>
      </w:r>
      <w:bookmarkEnd w:id="27"/>
    </w:p>
    <w:p w:rsidR="00142D3D" w:rsidRDefault="00142D3D" w:rsidP="00142D3D">
      <w:pPr>
        <w:pStyle w:val="BodyText"/>
      </w:pPr>
      <w:r>
        <w:t>The 95</w:t>
      </w:r>
      <w:r w:rsidRPr="00142D3D">
        <w:rPr>
          <w:vertAlign w:val="superscript"/>
        </w:rPr>
        <w:t>th</w:t>
      </w:r>
      <w:r>
        <w:t xml:space="preserve"> percentile tells you the point that 95 per</w:t>
      </w:r>
      <w:r w:rsidR="00DD3F5B">
        <w:t xml:space="preserve"> </w:t>
      </w:r>
      <w:r>
        <w:t xml:space="preserve">cent of samples are under. That means it is rare for </w:t>
      </w:r>
      <w:r w:rsidR="00CA4FEA" w:rsidRPr="00CA4FEA">
        <w:rPr>
          <w:i/>
        </w:rPr>
        <w:t>E.</w:t>
      </w:r>
      <w:r w:rsidR="00A252B6">
        <w:rPr>
          <w:i/>
        </w:rPr>
        <w:t xml:space="preserve"> </w:t>
      </w:r>
      <w:r w:rsidR="00CA4FEA" w:rsidRPr="00CA4FEA">
        <w:rPr>
          <w:i/>
        </w:rPr>
        <w:t>coli</w:t>
      </w:r>
      <w:r>
        <w:t xml:space="preserve"> concentrations to </w:t>
      </w:r>
      <w:r w:rsidR="007D2444">
        <w:t>go over this point (only 5 per</w:t>
      </w:r>
      <w:r w:rsidR="00DD3F5B">
        <w:t xml:space="preserve"> </w:t>
      </w:r>
      <w:r w:rsidR="007D2444">
        <w:t>cent of the time).</w:t>
      </w:r>
    </w:p>
    <w:p w:rsidR="0054141A" w:rsidRDefault="0054141A" w:rsidP="00142D3D">
      <w:pPr>
        <w:pStyle w:val="BodyText"/>
      </w:pPr>
      <w:r>
        <w:t>The use of a 95</w:t>
      </w:r>
      <w:r w:rsidRPr="0054141A">
        <w:rPr>
          <w:vertAlign w:val="superscript"/>
        </w:rPr>
        <w:t>th</w:t>
      </w:r>
      <w:r>
        <w:t xml:space="preserve"> percentile provide</w:t>
      </w:r>
      <w:r w:rsidR="00DD3F5B">
        <w:t>s</w:t>
      </w:r>
      <w:r>
        <w:t xml:space="preserve"> an indication of </w:t>
      </w:r>
      <w:r w:rsidR="0070221C">
        <w:t>the top of the range that could generally be expected, while</w:t>
      </w:r>
      <w:r w:rsidR="00E3451F">
        <w:t xml:space="preserve"> excluding </w:t>
      </w:r>
      <w:r w:rsidR="00195B86">
        <w:t>the most</w:t>
      </w:r>
      <w:r w:rsidR="00E3451F">
        <w:t xml:space="preserve"> extreme outliers; however, it doesn’t provide a good indication of what the </w:t>
      </w:r>
      <w:r w:rsidR="00E3451F" w:rsidRPr="00057AC1">
        <w:rPr>
          <w:i/>
        </w:rPr>
        <w:t>E. coli</w:t>
      </w:r>
      <w:r w:rsidR="00E3451F">
        <w:t xml:space="preserve"> concentration </w:t>
      </w:r>
      <w:r w:rsidR="00195B86">
        <w:t>would usually be.</w:t>
      </w:r>
    </w:p>
    <w:p w:rsidR="00262D77" w:rsidRDefault="00EC6834" w:rsidP="00262001">
      <w:pPr>
        <w:pStyle w:val="Heading3"/>
      </w:pPr>
      <w:bookmarkStart w:id="28" w:name="_Toc479073466"/>
      <w:r>
        <w:lastRenderedPageBreak/>
        <w:t>Percentage of samples above 260</w:t>
      </w:r>
      <w:bookmarkEnd w:id="28"/>
    </w:p>
    <w:p w:rsidR="001E75BE" w:rsidRDefault="00DD3F5B" w:rsidP="001D0C18">
      <w:pPr>
        <w:pStyle w:val="BodyText"/>
      </w:pPr>
      <w:r>
        <w:t xml:space="preserve">Two hundred and sixty </w:t>
      </w:r>
      <w:r w:rsidR="00CA4FEA" w:rsidRPr="00CA4FEA">
        <w:rPr>
          <w:i/>
        </w:rPr>
        <w:t>E.</w:t>
      </w:r>
      <w:r w:rsidR="00A252B6">
        <w:rPr>
          <w:i/>
        </w:rPr>
        <w:t xml:space="preserve"> </w:t>
      </w:r>
      <w:r w:rsidR="00CA4FEA" w:rsidRPr="00CA4FEA">
        <w:rPr>
          <w:i/>
        </w:rPr>
        <w:t>coli</w:t>
      </w:r>
      <w:r w:rsidR="007D2444">
        <w:t xml:space="preserve"> per 100</w:t>
      </w:r>
      <w:r w:rsidR="00B75B86">
        <w:t xml:space="preserve"> </w:t>
      </w:r>
      <w:r w:rsidR="007D2444">
        <w:t xml:space="preserve">ml is a threshold that was used in the 2003 recreational water quality guidelines. It </w:t>
      </w:r>
      <w:r w:rsidR="00371421">
        <w:t>is a point at which the risk of infection begins to increase but is</w:t>
      </w:r>
      <w:r w:rsidR="000C3935">
        <w:t xml:space="preserve"> still significantly lower than the </w:t>
      </w:r>
      <w:r w:rsidR="008D5CD3">
        <w:t xml:space="preserve">acceptable </w:t>
      </w:r>
      <w:r w:rsidR="000C3935">
        <w:t>threshold of 540</w:t>
      </w:r>
      <w:r w:rsidR="00EC43FF">
        <w:t>. A</w:t>
      </w:r>
      <w:r w:rsidR="005B0910">
        <w:t xml:space="preserve">t 260 the risk is around </w:t>
      </w:r>
      <w:r w:rsidR="00BF1FD7">
        <w:t xml:space="preserve">1 </w:t>
      </w:r>
      <w:r w:rsidR="005B0910">
        <w:t>per</w:t>
      </w:r>
      <w:r w:rsidR="00BF1FD7">
        <w:t xml:space="preserve"> </w:t>
      </w:r>
      <w:r w:rsidR="005B0910">
        <w:t>cent, while at 540 th</w:t>
      </w:r>
      <w:r w:rsidR="00EC43FF">
        <w:t xml:space="preserve">e risk is around </w:t>
      </w:r>
      <w:r w:rsidR="00BF1FD7">
        <w:t xml:space="preserve">5 </w:t>
      </w:r>
      <w:r w:rsidR="00EC43FF">
        <w:t>percent (</w:t>
      </w:r>
      <w:r w:rsidR="005B0910">
        <w:t>you can read more in the next chapter about the way risk is calculated)</w:t>
      </w:r>
      <w:r w:rsidR="000C3935">
        <w:t xml:space="preserve">. </w:t>
      </w:r>
      <w:r w:rsidR="00EC43FF">
        <w:t>It provides councils with an indication of how much of the time they will need to carry out daily monitoring.</w:t>
      </w:r>
    </w:p>
    <w:p w:rsidR="00F7233D" w:rsidRDefault="00F7233D" w:rsidP="001D0C18">
      <w:pPr>
        <w:pStyle w:val="BodyText"/>
      </w:pPr>
    </w:p>
    <w:p w:rsidR="00473CB7" w:rsidRPr="00E05534" w:rsidRDefault="00473CB7" w:rsidP="00E05534">
      <w:pPr>
        <w:pStyle w:val="BodyText"/>
      </w:pPr>
      <w:bookmarkStart w:id="29" w:name="_Ref478653514"/>
      <w:r>
        <w:br w:type="page"/>
      </w:r>
    </w:p>
    <w:p w:rsidR="002C392D" w:rsidRDefault="002C392D" w:rsidP="00262001">
      <w:pPr>
        <w:pStyle w:val="Heading1"/>
      </w:pPr>
      <w:bookmarkStart w:id="30" w:name="_Risk_in_relation"/>
      <w:bookmarkStart w:id="31" w:name="_Toc479073467"/>
      <w:bookmarkStart w:id="32" w:name="_Toc482112351"/>
      <w:bookmarkEnd w:id="30"/>
      <w:r>
        <w:lastRenderedPageBreak/>
        <w:t xml:space="preserve">Risk </w:t>
      </w:r>
      <w:r w:rsidR="00F66F28">
        <w:t>in relation to</w:t>
      </w:r>
      <w:r>
        <w:t xml:space="preserve"> the proposed swimming categories</w:t>
      </w:r>
      <w:bookmarkEnd w:id="29"/>
      <w:bookmarkEnd w:id="31"/>
      <w:bookmarkEnd w:id="32"/>
    </w:p>
    <w:p w:rsidR="00F66F28" w:rsidRDefault="00F66F28" w:rsidP="00262001">
      <w:pPr>
        <w:pStyle w:val="Heading2"/>
      </w:pPr>
      <w:bookmarkStart w:id="33" w:name="_Toc479073468"/>
      <w:bookmarkStart w:id="34" w:name="_Toc482112352"/>
      <w:r>
        <w:t>An overview of how health risk is determined from the swimming categories</w:t>
      </w:r>
      <w:bookmarkEnd w:id="33"/>
      <w:bookmarkEnd w:id="34"/>
    </w:p>
    <w:p w:rsidR="00A11E83" w:rsidRDefault="00A11E83" w:rsidP="001D0C18">
      <w:pPr>
        <w:pStyle w:val="BodyText"/>
      </w:pPr>
      <w:r>
        <w:t xml:space="preserve">There is always some degree of risk that when you swim you </w:t>
      </w:r>
      <w:r w:rsidR="00BD7891">
        <w:t xml:space="preserve">may </w:t>
      </w:r>
      <w:r>
        <w:t>be infected by microbial pathogens that could make you sick</w:t>
      </w:r>
      <w:r w:rsidR="00BD7891">
        <w:t xml:space="preserve">, and the </w:t>
      </w:r>
      <w:r>
        <w:t>risk varies from day to day.</w:t>
      </w:r>
    </w:p>
    <w:p w:rsidR="0009661A" w:rsidRDefault="00A11E83" w:rsidP="001D0C18">
      <w:pPr>
        <w:pStyle w:val="BodyText"/>
      </w:pPr>
      <w:r>
        <w:t>The purpose of defining a</w:t>
      </w:r>
      <w:r w:rsidR="008D5CD3">
        <w:t>n acceptable</w:t>
      </w:r>
      <w:r>
        <w:t xml:space="preserve"> threshold</w:t>
      </w:r>
      <w:r w:rsidR="00BF56BE">
        <w:t xml:space="preserve"> of risk</w:t>
      </w:r>
      <w:r>
        <w:t xml:space="preserve"> and various categories of ‘swimmability’, then, is to </w:t>
      </w:r>
      <w:r w:rsidR="0009661A">
        <w:t>help people quantify the level of risk that exists so they can make their own judgement on what level of risk they are prepared to tolerate. It means people can make an informed decision on where and when to swim, and how much extra information to seek before doing so.</w:t>
      </w:r>
    </w:p>
    <w:p w:rsidR="00133105" w:rsidRDefault="0009661A" w:rsidP="001D0C18">
      <w:pPr>
        <w:pStyle w:val="BodyText"/>
      </w:pPr>
      <w:r>
        <w:t xml:space="preserve">The categories in the </w:t>
      </w:r>
      <w:r w:rsidR="00BF1FD7">
        <w:t xml:space="preserve">swimming </w:t>
      </w:r>
      <w:r>
        <w:t xml:space="preserve">maps, targets and attribute table are based on </w:t>
      </w:r>
      <w:r w:rsidR="00D97FC0">
        <w:t>determining</w:t>
      </w:r>
      <w:r w:rsidR="00133105">
        <w:t>:</w:t>
      </w:r>
      <w:r w:rsidR="00D97FC0">
        <w:t xml:space="preserve"> </w:t>
      </w:r>
    </w:p>
    <w:p w:rsidR="00432136" w:rsidRDefault="00432136" w:rsidP="00267374">
      <w:pPr>
        <w:pStyle w:val="Bullet"/>
        <w:keepLines w:val="0"/>
        <w:numPr>
          <w:ilvl w:val="0"/>
          <w:numId w:val="12"/>
        </w:numPr>
        <w:tabs>
          <w:tab w:val="left" w:pos="397"/>
        </w:tabs>
        <w:spacing w:before="0" w:line="280" w:lineRule="exact"/>
        <w:ind w:left="397" w:hanging="397"/>
        <w:jc w:val="left"/>
      </w:pPr>
      <w:r>
        <w:t>the</w:t>
      </w:r>
      <w:r w:rsidR="00F42BE0">
        <w:t xml:space="preserve"> baseline levels of</w:t>
      </w:r>
      <w:r>
        <w:t xml:space="preserve"> </w:t>
      </w:r>
      <w:r w:rsidR="00CA4FEA" w:rsidRPr="00CA4FEA">
        <w:rPr>
          <w:i/>
        </w:rPr>
        <w:t>E.</w:t>
      </w:r>
      <w:r w:rsidR="00A252B6">
        <w:rPr>
          <w:i/>
        </w:rPr>
        <w:t xml:space="preserve"> </w:t>
      </w:r>
      <w:r w:rsidR="00CA4FEA" w:rsidRPr="00CA4FEA">
        <w:rPr>
          <w:i/>
        </w:rPr>
        <w:t>coli</w:t>
      </w:r>
      <w:r>
        <w:t xml:space="preserve"> </w:t>
      </w:r>
      <w:r w:rsidRPr="00267374">
        <w:rPr>
          <w:rFonts w:eastAsia="Times New Roman" w:cs="Times New Roman"/>
          <w:szCs w:val="20"/>
        </w:rPr>
        <w:t>concentration</w:t>
      </w:r>
      <w:r>
        <w:t xml:space="preserve"> </w:t>
      </w:r>
      <w:r w:rsidR="00F42BE0">
        <w:t>and how often they spike</w:t>
      </w:r>
    </w:p>
    <w:p w:rsidR="00133105" w:rsidRDefault="00D97FC0" w:rsidP="00267374">
      <w:pPr>
        <w:pStyle w:val="Bullet"/>
        <w:keepLines w:val="0"/>
        <w:numPr>
          <w:ilvl w:val="0"/>
          <w:numId w:val="12"/>
        </w:numPr>
        <w:tabs>
          <w:tab w:val="left" w:pos="397"/>
        </w:tabs>
        <w:spacing w:before="0" w:line="280" w:lineRule="exact"/>
        <w:ind w:left="397" w:hanging="397"/>
        <w:jc w:val="left"/>
      </w:pPr>
      <w:r>
        <w:t xml:space="preserve">how </w:t>
      </w:r>
      <w:r w:rsidR="00CA4FEA" w:rsidRPr="00CA4FEA">
        <w:rPr>
          <w:i/>
        </w:rPr>
        <w:t>E.</w:t>
      </w:r>
      <w:r w:rsidR="00A252B6">
        <w:rPr>
          <w:i/>
        </w:rPr>
        <w:t xml:space="preserve"> </w:t>
      </w:r>
      <w:r w:rsidR="00CA4FEA" w:rsidRPr="00CA4FEA">
        <w:rPr>
          <w:i/>
        </w:rPr>
        <w:t>coli</w:t>
      </w:r>
      <w:r>
        <w:t xml:space="preserve"> </w:t>
      </w:r>
      <w:r w:rsidRPr="00267374">
        <w:rPr>
          <w:rFonts w:eastAsia="Times New Roman" w:cs="Times New Roman"/>
          <w:szCs w:val="20"/>
        </w:rPr>
        <w:t>concentrations</w:t>
      </w:r>
      <w:r w:rsidR="00432136">
        <w:t xml:space="preserve"> </w:t>
      </w:r>
      <w:r>
        <w:t>are linked to infection risk</w:t>
      </w:r>
      <w:r w:rsidR="00432136">
        <w:t>.</w:t>
      </w:r>
    </w:p>
    <w:p w:rsidR="00561624" w:rsidRDefault="000C1402" w:rsidP="00432136">
      <w:pPr>
        <w:pStyle w:val="BodyText"/>
      </w:pPr>
      <w:r>
        <w:t xml:space="preserve">The information we used to determine what </w:t>
      </w:r>
      <w:r w:rsidRPr="00CA2E66">
        <w:rPr>
          <w:i/>
        </w:rPr>
        <w:t>E. coli</w:t>
      </w:r>
      <w:r>
        <w:t xml:space="preserve"> concentrations are in the water, and how often they </w:t>
      </w:r>
      <w:r w:rsidR="006C6861">
        <w:t>spike</w:t>
      </w:r>
      <w:r>
        <w:t xml:space="preserve">, is based on </w:t>
      </w:r>
      <w:r w:rsidR="00195B86">
        <w:t xml:space="preserve">a mix of monitoring and </w:t>
      </w:r>
      <w:r>
        <w:t xml:space="preserve">modelling. </w:t>
      </w:r>
      <w:r w:rsidR="00432136">
        <w:t xml:space="preserve">The methods for </w:t>
      </w:r>
      <w:r>
        <w:t>developing the model are</w:t>
      </w:r>
      <w:r w:rsidR="00561624">
        <w:t xml:space="preserve"> set out in more detail in the report </w:t>
      </w:r>
      <w:hyperlink r:id="rId21" w:history="1">
        <w:r w:rsidR="00561624" w:rsidRPr="000661E2">
          <w:rPr>
            <w:rStyle w:val="Hyperlink"/>
            <w:i/>
          </w:rPr>
          <w:t>Strategic assessment of New Zealand’s freshwaters for recreational use: a human health perspectiv</w:t>
        </w:r>
        <w:r w:rsidR="00561624" w:rsidRPr="00CA2E66">
          <w:rPr>
            <w:rStyle w:val="Hyperlink"/>
            <w:b/>
            <w:i/>
          </w:rPr>
          <w:t>e</w:t>
        </w:r>
      </w:hyperlink>
      <w:r w:rsidR="00561624">
        <w:t xml:space="preserve">. The methods for determining the infection risk related to different </w:t>
      </w:r>
      <w:r w:rsidR="00CA4FEA" w:rsidRPr="00CA4FEA">
        <w:rPr>
          <w:i/>
        </w:rPr>
        <w:t>E.</w:t>
      </w:r>
      <w:r w:rsidR="00A252B6">
        <w:rPr>
          <w:i/>
        </w:rPr>
        <w:t xml:space="preserve"> </w:t>
      </w:r>
      <w:r w:rsidR="00CA4FEA" w:rsidRPr="00CA4FEA">
        <w:rPr>
          <w:i/>
        </w:rPr>
        <w:t>coli</w:t>
      </w:r>
      <w:r w:rsidR="00561624">
        <w:t xml:space="preserve"> frequencies </w:t>
      </w:r>
      <w:r w:rsidR="00F3404B">
        <w:t>are</w:t>
      </w:r>
      <w:r w:rsidR="00561624">
        <w:t xml:space="preserve"> described in more detail in the following sections.</w:t>
      </w:r>
      <w:r w:rsidR="006D54EA">
        <w:t xml:space="preserve"> </w:t>
      </w:r>
    </w:p>
    <w:p w:rsidR="00664718" w:rsidRDefault="00664718" w:rsidP="00432136">
      <w:pPr>
        <w:pStyle w:val="BodyText"/>
      </w:pPr>
      <w:r>
        <w:t xml:space="preserve">It is important to note that all the data in this report is based on the risk of infection, and this does not mean the same thing as becoming sick. People can be infected with </w:t>
      </w:r>
      <w:r w:rsidRPr="00DC13A0">
        <w:rPr>
          <w:i/>
        </w:rPr>
        <w:t>Campylobacter</w:t>
      </w:r>
      <w:r>
        <w:t xml:space="preserve"> without exhibiting symptoms. It is thought that roughly half of </w:t>
      </w:r>
      <w:r w:rsidRPr="00DC13A0">
        <w:rPr>
          <w:i/>
        </w:rPr>
        <w:t>Campylobacter</w:t>
      </w:r>
      <w:r>
        <w:t xml:space="preserve"> infections result in illness.</w:t>
      </w:r>
    </w:p>
    <w:p w:rsidR="004D27D3" w:rsidRDefault="004D27D3" w:rsidP="00262001">
      <w:pPr>
        <w:pStyle w:val="Heading2"/>
      </w:pPr>
      <w:bookmarkStart w:id="35" w:name="_Toc479073469"/>
      <w:bookmarkStart w:id="36" w:name="_Toc482112353"/>
      <w:r>
        <w:t xml:space="preserve">The QMRA linking </w:t>
      </w:r>
      <w:r w:rsidR="00CA4FEA" w:rsidRPr="00CA4FEA">
        <w:rPr>
          <w:i/>
        </w:rPr>
        <w:t>E.</w:t>
      </w:r>
      <w:r w:rsidR="00A252B6">
        <w:rPr>
          <w:i/>
        </w:rPr>
        <w:t xml:space="preserve"> </w:t>
      </w:r>
      <w:r w:rsidR="00CA4FEA" w:rsidRPr="00CA4FEA">
        <w:rPr>
          <w:i/>
        </w:rPr>
        <w:t>coli</w:t>
      </w:r>
      <w:r>
        <w:t xml:space="preserve"> and </w:t>
      </w:r>
      <w:r w:rsidRPr="00DC13A0">
        <w:rPr>
          <w:i/>
        </w:rPr>
        <w:t>Campylobacter</w:t>
      </w:r>
      <w:bookmarkEnd w:id="35"/>
      <w:bookmarkEnd w:id="36"/>
    </w:p>
    <w:p w:rsidR="00477D52" w:rsidRDefault="00477D52" w:rsidP="004D27D3">
      <w:pPr>
        <w:pStyle w:val="BodyText"/>
      </w:pPr>
      <w:r w:rsidRPr="00477D52">
        <w:t>Quantitative microb</w:t>
      </w:r>
      <w:r>
        <w:t xml:space="preserve">ial risk assessment (QMRA) is an </w:t>
      </w:r>
      <w:r w:rsidRPr="00477D52">
        <w:t xml:space="preserve">approach that brings information and data together with mathematical models to </w:t>
      </w:r>
      <w:r>
        <w:t>ass</w:t>
      </w:r>
      <w:r w:rsidRPr="00477D52">
        <w:t xml:space="preserve">ess the spread of </w:t>
      </w:r>
      <w:r w:rsidR="00BF56BE">
        <w:t xml:space="preserve">infection and illness from </w:t>
      </w:r>
      <w:r w:rsidRPr="00477D52">
        <w:t>microb</w:t>
      </w:r>
      <w:r>
        <w:t>es</w:t>
      </w:r>
      <w:r w:rsidRPr="00477D52">
        <w:t xml:space="preserve"> </w:t>
      </w:r>
      <w:r w:rsidR="00AE2288">
        <w:t>through environmental exposure</w:t>
      </w:r>
      <w:r w:rsidRPr="00477D52">
        <w:t>.</w:t>
      </w:r>
    </w:p>
    <w:p w:rsidR="004D27D3" w:rsidRDefault="004D27D3" w:rsidP="004D27D3">
      <w:pPr>
        <w:pStyle w:val="BodyText"/>
      </w:pPr>
      <w:r>
        <w:t xml:space="preserve">As mentioned earlier in this report, the use of </w:t>
      </w:r>
      <w:r w:rsidR="00CA4FEA" w:rsidRPr="00CA4FEA">
        <w:rPr>
          <w:i/>
        </w:rPr>
        <w:t>E.</w:t>
      </w:r>
      <w:r w:rsidR="00A252B6">
        <w:rPr>
          <w:i/>
        </w:rPr>
        <w:t xml:space="preserve"> </w:t>
      </w:r>
      <w:r w:rsidR="00CA4FEA" w:rsidRPr="00CA4FEA">
        <w:rPr>
          <w:i/>
        </w:rPr>
        <w:t>coli</w:t>
      </w:r>
      <w:r>
        <w:t xml:space="preserve"> as an indicator (and therefore its inclusion in the 2003 recreational water quality guidelines, the </w:t>
      </w:r>
      <w:r w:rsidR="00543AD5">
        <w:t>F</w:t>
      </w:r>
      <w:r>
        <w:t>reshwater NPS, and the new swimming maps and targets) is based on a QM</w:t>
      </w:r>
      <w:r w:rsidR="006C38DC">
        <w:t>R</w:t>
      </w:r>
      <w:r>
        <w:t xml:space="preserve">A that looked at the link between </w:t>
      </w:r>
      <w:r w:rsidR="00CA4FEA" w:rsidRPr="00CA4FEA">
        <w:rPr>
          <w:i/>
        </w:rPr>
        <w:t>E.</w:t>
      </w:r>
      <w:r w:rsidR="00A252B6">
        <w:rPr>
          <w:i/>
        </w:rPr>
        <w:t xml:space="preserve"> </w:t>
      </w:r>
      <w:r w:rsidR="00CA4FEA" w:rsidRPr="00CA4FEA">
        <w:rPr>
          <w:i/>
        </w:rPr>
        <w:t>coli</w:t>
      </w:r>
      <w:r>
        <w:t xml:space="preserve"> concentrations and </w:t>
      </w:r>
      <w:r w:rsidRPr="00DC13A0">
        <w:rPr>
          <w:i/>
        </w:rPr>
        <w:t>Campylobacter</w:t>
      </w:r>
      <w:r>
        <w:t xml:space="preserve"> infections.</w:t>
      </w:r>
    </w:p>
    <w:p w:rsidR="00A86185" w:rsidRDefault="00A86185" w:rsidP="004D27D3">
      <w:pPr>
        <w:pStyle w:val="BodyText"/>
      </w:pPr>
      <w:r>
        <w:t>The Q</w:t>
      </w:r>
      <w:r w:rsidR="00AE27C7">
        <w:t>MR</w:t>
      </w:r>
      <w:r>
        <w:t>A took data from:</w:t>
      </w:r>
    </w:p>
    <w:p w:rsidR="00A86185" w:rsidRDefault="00A86185" w:rsidP="00267374">
      <w:pPr>
        <w:pStyle w:val="Bullet"/>
        <w:keepLines w:val="0"/>
        <w:numPr>
          <w:ilvl w:val="0"/>
          <w:numId w:val="13"/>
        </w:numPr>
        <w:tabs>
          <w:tab w:val="left" w:pos="397"/>
        </w:tabs>
        <w:spacing w:before="0" w:line="280" w:lineRule="exact"/>
        <w:ind w:left="397" w:hanging="397"/>
        <w:jc w:val="left"/>
      </w:pPr>
      <w:r>
        <w:t xml:space="preserve">a </w:t>
      </w:r>
      <w:r w:rsidR="00C7674E">
        <w:t>study</w:t>
      </w:r>
      <w:r>
        <w:t xml:space="preserve"> </w:t>
      </w:r>
      <w:r w:rsidRPr="00267374">
        <w:rPr>
          <w:rFonts w:eastAsia="Times New Roman" w:cs="Times New Roman"/>
          <w:szCs w:val="20"/>
        </w:rPr>
        <w:t>that</w:t>
      </w:r>
      <w:r>
        <w:t xml:space="preserve"> looked at the dose</w:t>
      </w:r>
      <w:r w:rsidR="00F42BE0">
        <w:t>s</w:t>
      </w:r>
      <w:r>
        <w:t xml:space="preserve"> of </w:t>
      </w:r>
      <w:r w:rsidRPr="00DC13A0">
        <w:rPr>
          <w:i/>
        </w:rPr>
        <w:t>Campylobacter</w:t>
      </w:r>
      <w:r>
        <w:t xml:space="preserve"> that would be required to make a person sick</w:t>
      </w:r>
    </w:p>
    <w:p w:rsidR="00A86185" w:rsidRDefault="00A86185" w:rsidP="00267374">
      <w:pPr>
        <w:pStyle w:val="Bullet"/>
        <w:keepLines w:val="0"/>
        <w:numPr>
          <w:ilvl w:val="0"/>
          <w:numId w:val="13"/>
        </w:numPr>
        <w:tabs>
          <w:tab w:val="left" w:pos="397"/>
        </w:tabs>
        <w:spacing w:before="0" w:line="280" w:lineRule="exact"/>
        <w:ind w:left="397" w:hanging="397"/>
        <w:jc w:val="left"/>
      </w:pPr>
      <w:r>
        <w:t xml:space="preserve">a </w:t>
      </w:r>
      <w:r w:rsidRPr="00267374">
        <w:rPr>
          <w:rFonts w:eastAsia="Times New Roman" w:cs="Times New Roman"/>
          <w:szCs w:val="20"/>
        </w:rPr>
        <w:t>study</w:t>
      </w:r>
      <w:r>
        <w:t xml:space="preserve"> that looked at the concentrations of both </w:t>
      </w:r>
      <w:r w:rsidRPr="00DC13A0">
        <w:rPr>
          <w:i/>
        </w:rPr>
        <w:t>Campylobacter</w:t>
      </w:r>
      <w:r>
        <w:t xml:space="preserve"> and </w:t>
      </w:r>
      <w:r w:rsidR="00CA4FEA" w:rsidRPr="00CA4FEA">
        <w:rPr>
          <w:i/>
        </w:rPr>
        <w:t>E.</w:t>
      </w:r>
      <w:r w:rsidR="00A252B6">
        <w:rPr>
          <w:i/>
        </w:rPr>
        <w:t xml:space="preserve"> </w:t>
      </w:r>
      <w:r w:rsidR="00CA4FEA" w:rsidRPr="00CA4FEA">
        <w:rPr>
          <w:i/>
        </w:rPr>
        <w:t>coli</w:t>
      </w:r>
      <w:r>
        <w:t xml:space="preserve"> at </w:t>
      </w:r>
      <w:r w:rsidR="001D2ABC">
        <w:t xml:space="preserve">22 river and </w:t>
      </w:r>
      <w:r w:rsidR="00B10561">
        <w:t>3 lake sites</w:t>
      </w:r>
      <w:r w:rsidR="001D2ABC">
        <w:t>, to see the correlation between the two.</w:t>
      </w:r>
    </w:p>
    <w:p w:rsidR="001D2ABC" w:rsidRDefault="001D2ABC" w:rsidP="001D2ABC">
      <w:pPr>
        <w:pStyle w:val="BodyText"/>
      </w:pPr>
      <w:r>
        <w:t xml:space="preserve">It used this data to develop a statistical model that took this data, and other variables (such as the </w:t>
      </w:r>
      <w:r w:rsidR="00F42BE0">
        <w:t>ingestion rate</w:t>
      </w:r>
      <w:r w:rsidR="000F4839">
        <w:t xml:space="preserve"> </w:t>
      </w:r>
      <w:r>
        <w:t xml:space="preserve">and </w:t>
      </w:r>
      <w:r w:rsidR="000F4839">
        <w:t xml:space="preserve">amount of </w:t>
      </w:r>
      <w:r>
        <w:t>time in the water) to come up with a</w:t>
      </w:r>
      <w:r w:rsidR="00235B37">
        <w:t xml:space="preserve"> predicted level of risk of </w:t>
      </w:r>
      <w:r w:rsidR="00235B37" w:rsidRPr="00DC13A0">
        <w:rPr>
          <w:i/>
        </w:rPr>
        <w:t>Campylobacter</w:t>
      </w:r>
      <w:r w:rsidR="00235B37">
        <w:t xml:space="preserve"> infections for a range of different </w:t>
      </w:r>
      <w:r w:rsidR="00CA4FEA" w:rsidRPr="00CA4FEA">
        <w:rPr>
          <w:i/>
        </w:rPr>
        <w:t>E.</w:t>
      </w:r>
      <w:r w:rsidR="00A252B6">
        <w:rPr>
          <w:i/>
        </w:rPr>
        <w:t xml:space="preserve"> </w:t>
      </w:r>
      <w:r w:rsidR="00CA4FEA" w:rsidRPr="00CA4FEA">
        <w:rPr>
          <w:i/>
        </w:rPr>
        <w:t>coli</w:t>
      </w:r>
      <w:r w:rsidR="00235B37">
        <w:t xml:space="preserve"> concentrations.</w:t>
      </w:r>
    </w:p>
    <w:p w:rsidR="006510C9" w:rsidRDefault="0038486E" w:rsidP="001D2ABC">
      <w:pPr>
        <w:pStyle w:val="BodyText"/>
      </w:pPr>
      <w:r>
        <w:rPr>
          <w:noProof/>
        </w:rPr>
        <w:lastRenderedPageBreak/>
        <w:drawing>
          <wp:anchor distT="0" distB="0" distL="114300" distR="114300" simplePos="0" relativeHeight="251663360" behindDoc="1" locked="0" layoutInCell="1" allowOverlap="1" wp14:anchorId="7101AC91" wp14:editId="68463215">
            <wp:simplePos x="0" y="0"/>
            <wp:positionH relativeFrom="column">
              <wp:posOffset>3307080</wp:posOffset>
            </wp:positionH>
            <wp:positionV relativeFrom="paragraph">
              <wp:posOffset>38100</wp:posOffset>
            </wp:positionV>
            <wp:extent cx="2529840" cy="2529840"/>
            <wp:effectExtent l="0" t="0" r="3810" b="3810"/>
            <wp:wrapTight wrapText="bothSides">
              <wp:wrapPolygon edited="0">
                <wp:start x="0" y="0"/>
                <wp:lineTo x="0" y="21470"/>
                <wp:lineTo x="21470" y="21470"/>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9840" cy="2529840"/>
                    </a:xfrm>
                    <a:prstGeom prst="rect">
                      <a:avLst/>
                    </a:prstGeom>
                    <a:noFill/>
                  </pic:spPr>
                </pic:pic>
              </a:graphicData>
            </a:graphic>
            <wp14:sizeRelH relativeFrom="page">
              <wp14:pctWidth>0</wp14:pctWidth>
            </wp14:sizeRelH>
            <wp14:sizeRelV relativeFrom="page">
              <wp14:pctHeight>0</wp14:pctHeight>
            </wp14:sizeRelV>
          </wp:anchor>
        </w:drawing>
      </w:r>
      <w:r w:rsidR="00E27946">
        <w:t>The QM</w:t>
      </w:r>
      <w:r w:rsidR="00B10561">
        <w:t>R</w:t>
      </w:r>
      <w:r w:rsidR="00E27946">
        <w:t>A showed that</w:t>
      </w:r>
      <w:r w:rsidR="006510C9">
        <w:t>:</w:t>
      </w:r>
      <w:r w:rsidR="00E27946">
        <w:t xml:space="preserve"> </w:t>
      </w:r>
    </w:p>
    <w:p w:rsidR="00A66B0A" w:rsidRDefault="00B10561" w:rsidP="00267374">
      <w:pPr>
        <w:pStyle w:val="Bullet"/>
        <w:keepLines w:val="0"/>
        <w:numPr>
          <w:ilvl w:val="0"/>
          <w:numId w:val="14"/>
        </w:numPr>
        <w:tabs>
          <w:tab w:val="left" w:pos="397"/>
        </w:tabs>
        <w:spacing w:before="0" w:line="280" w:lineRule="exact"/>
        <w:ind w:left="397" w:hanging="397"/>
        <w:jc w:val="left"/>
      </w:pPr>
      <w:r>
        <w:t xml:space="preserve">waters with </w:t>
      </w:r>
      <w:r w:rsidR="00E27946">
        <w:t xml:space="preserve">approximately 130 </w:t>
      </w:r>
      <w:r w:rsidR="00CA4FEA" w:rsidRPr="00CA4FEA">
        <w:rPr>
          <w:i/>
        </w:rPr>
        <w:t>E.</w:t>
      </w:r>
      <w:r w:rsidR="00A252B6">
        <w:rPr>
          <w:i/>
        </w:rPr>
        <w:t xml:space="preserve"> </w:t>
      </w:r>
      <w:r w:rsidR="00CA4FEA" w:rsidRPr="00CA4FEA">
        <w:rPr>
          <w:i/>
        </w:rPr>
        <w:t>coli</w:t>
      </w:r>
      <w:r w:rsidR="00E27946">
        <w:t xml:space="preserve"> per 100</w:t>
      </w:r>
      <w:r w:rsidR="00B75B86">
        <w:t xml:space="preserve"> </w:t>
      </w:r>
      <w:r w:rsidR="00E27946">
        <w:t xml:space="preserve">ml presented a risk of </w:t>
      </w:r>
      <w:r w:rsidR="00743831">
        <w:t xml:space="preserve">less than </w:t>
      </w:r>
      <w:r w:rsidR="00E27946">
        <w:t xml:space="preserve">1 in 1000 of infecting </w:t>
      </w:r>
      <w:r w:rsidR="00743831">
        <w:t xml:space="preserve">someone with </w:t>
      </w:r>
      <w:r w:rsidR="00743831" w:rsidRPr="00DC13A0">
        <w:rPr>
          <w:i/>
        </w:rPr>
        <w:t>Campylobacter</w:t>
      </w:r>
      <w:r w:rsidR="00743831">
        <w:t xml:space="preserve">. This </w:t>
      </w:r>
      <w:r w:rsidR="00743831" w:rsidRPr="00267374">
        <w:rPr>
          <w:rFonts w:eastAsia="Times New Roman" w:cs="Times New Roman"/>
          <w:szCs w:val="20"/>
        </w:rPr>
        <w:t>means</w:t>
      </w:r>
      <w:r w:rsidR="00743831">
        <w:t xml:space="preserve"> that at 130 the risk of infection is minimal</w:t>
      </w:r>
    </w:p>
    <w:p w:rsidR="00A66B0A" w:rsidRDefault="00B10561" w:rsidP="00267374">
      <w:pPr>
        <w:pStyle w:val="Bullet"/>
        <w:keepLines w:val="0"/>
        <w:numPr>
          <w:ilvl w:val="0"/>
          <w:numId w:val="14"/>
        </w:numPr>
        <w:tabs>
          <w:tab w:val="left" w:pos="397"/>
        </w:tabs>
        <w:spacing w:before="0" w:line="280" w:lineRule="exact"/>
        <w:ind w:left="397" w:hanging="397"/>
        <w:jc w:val="left"/>
      </w:pPr>
      <w:r>
        <w:t xml:space="preserve">waters with </w:t>
      </w:r>
      <w:r w:rsidR="00743831">
        <w:t xml:space="preserve">approximately 260 </w:t>
      </w:r>
      <w:r w:rsidR="00CA4FEA" w:rsidRPr="00CA4FEA">
        <w:rPr>
          <w:i/>
        </w:rPr>
        <w:t>E.</w:t>
      </w:r>
      <w:r w:rsidR="00A252B6">
        <w:rPr>
          <w:i/>
        </w:rPr>
        <w:t xml:space="preserve"> </w:t>
      </w:r>
      <w:r w:rsidR="00CA4FEA" w:rsidRPr="00CA4FEA">
        <w:rPr>
          <w:i/>
        </w:rPr>
        <w:t>coli</w:t>
      </w:r>
      <w:r w:rsidR="00743831">
        <w:t xml:space="preserve"> per 100</w:t>
      </w:r>
      <w:r w:rsidR="00B75B86">
        <w:t xml:space="preserve"> </w:t>
      </w:r>
      <w:r w:rsidR="00743831">
        <w:t xml:space="preserve">ml </w:t>
      </w:r>
      <w:r w:rsidR="00A66B0A">
        <w:t>presented a</w:t>
      </w:r>
      <w:r w:rsidR="00743831">
        <w:t xml:space="preserve"> risk </w:t>
      </w:r>
      <w:r w:rsidR="00A66B0A">
        <w:t>of</w:t>
      </w:r>
      <w:r w:rsidR="00743831">
        <w:t xml:space="preserve"> less th</w:t>
      </w:r>
      <w:r w:rsidR="00981D57">
        <w:t xml:space="preserve">an </w:t>
      </w:r>
      <w:r w:rsidR="00981D57" w:rsidRPr="00267374">
        <w:rPr>
          <w:rFonts w:eastAsia="Times New Roman" w:cs="Times New Roman"/>
          <w:szCs w:val="20"/>
        </w:rPr>
        <w:t>10</w:t>
      </w:r>
      <w:r w:rsidR="00981D57">
        <w:t xml:space="preserve"> in 1000 (or </w:t>
      </w:r>
      <w:r w:rsidR="000E375F">
        <w:t xml:space="preserve">1 </w:t>
      </w:r>
      <w:r w:rsidR="00981D57">
        <w:t>per</w:t>
      </w:r>
      <w:r w:rsidR="000E375F">
        <w:t xml:space="preserve"> </w:t>
      </w:r>
      <w:r w:rsidR="00981D57">
        <w:t>cent)</w:t>
      </w:r>
    </w:p>
    <w:p w:rsidR="00743831" w:rsidRDefault="00B10561" w:rsidP="00267374">
      <w:pPr>
        <w:pStyle w:val="Bullet"/>
        <w:keepLines w:val="0"/>
        <w:numPr>
          <w:ilvl w:val="0"/>
          <w:numId w:val="14"/>
        </w:numPr>
        <w:tabs>
          <w:tab w:val="left" w:pos="397"/>
        </w:tabs>
        <w:spacing w:before="0" w:line="280" w:lineRule="exact"/>
        <w:ind w:left="397" w:hanging="397"/>
        <w:jc w:val="left"/>
      </w:pPr>
      <w:r>
        <w:t xml:space="preserve">waters with </w:t>
      </w:r>
      <w:r w:rsidR="00981D57">
        <w:t xml:space="preserve">somewhere between 461 and 613 </w:t>
      </w:r>
      <w:r w:rsidR="00CA4FEA" w:rsidRPr="00CA4FEA">
        <w:rPr>
          <w:i/>
        </w:rPr>
        <w:t>E.</w:t>
      </w:r>
      <w:r w:rsidR="00A252B6">
        <w:rPr>
          <w:i/>
        </w:rPr>
        <w:t xml:space="preserve"> </w:t>
      </w:r>
      <w:r w:rsidR="00CA4FEA" w:rsidRPr="00CA4FEA">
        <w:rPr>
          <w:i/>
        </w:rPr>
        <w:t>coli</w:t>
      </w:r>
      <w:r w:rsidR="00981D57">
        <w:t xml:space="preserve"> per 100</w:t>
      </w:r>
      <w:r w:rsidR="00B75B86">
        <w:t xml:space="preserve"> </w:t>
      </w:r>
      <w:r w:rsidR="00981D57">
        <w:t xml:space="preserve">ml </w:t>
      </w:r>
      <w:r w:rsidR="00A66B0A">
        <w:t xml:space="preserve">presented a </w:t>
      </w:r>
      <w:r w:rsidR="00981D57">
        <w:t xml:space="preserve">risk </w:t>
      </w:r>
      <w:r w:rsidR="00A66B0A">
        <w:t>of</w:t>
      </w:r>
      <w:r w:rsidR="00981D57">
        <w:t xml:space="preserve"> around 50 in 1000 (</w:t>
      </w:r>
      <w:r w:rsidR="000E375F">
        <w:t xml:space="preserve">5 </w:t>
      </w:r>
      <w:r w:rsidR="00981D57" w:rsidRPr="00267374">
        <w:rPr>
          <w:rFonts w:eastAsia="Times New Roman" w:cs="Times New Roman"/>
          <w:szCs w:val="20"/>
        </w:rPr>
        <w:t>per</w:t>
      </w:r>
      <w:r w:rsidR="000E375F">
        <w:rPr>
          <w:rFonts w:eastAsia="Times New Roman" w:cs="Times New Roman"/>
          <w:szCs w:val="20"/>
        </w:rPr>
        <w:t xml:space="preserve"> </w:t>
      </w:r>
      <w:r w:rsidR="00981D57" w:rsidRPr="00267374">
        <w:rPr>
          <w:rFonts w:eastAsia="Times New Roman" w:cs="Times New Roman"/>
          <w:szCs w:val="20"/>
        </w:rPr>
        <w:t>cent</w:t>
      </w:r>
      <w:r w:rsidR="00BA5260">
        <w:t>, or one in 20</w:t>
      </w:r>
      <w:r w:rsidR="00981D57">
        <w:t>)</w:t>
      </w:r>
      <w:r w:rsidR="00A66B0A">
        <w:t>; t</w:t>
      </w:r>
      <w:r w:rsidR="006510C9">
        <w:t>his was</w:t>
      </w:r>
      <w:r w:rsidR="00A66B0A">
        <w:t xml:space="preserve"> the driver for setting the maximum threshold at 540 as it is</w:t>
      </w:r>
      <w:r w:rsidR="0038486E">
        <w:t xml:space="preserve"> approximately the average between these two points</w:t>
      </w:r>
      <w:r w:rsidR="000E375F">
        <w:t xml:space="preserve"> (McBride, 2012)</w:t>
      </w:r>
      <w:r w:rsidR="0038486E">
        <w:t>.</w:t>
      </w:r>
      <w:r w:rsidR="00A66B0A">
        <w:t xml:space="preserve"> </w:t>
      </w:r>
    </w:p>
    <w:p w:rsidR="00D227F2" w:rsidRDefault="00C5427E" w:rsidP="00D227F2">
      <w:pPr>
        <w:pStyle w:val="BodyText"/>
      </w:pPr>
      <w:r>
        <w:t>We are</w:t>
      </w:r>
      <w:r w:rsidR="00D227F2" w:rsidRPr="00D227F2">
        <w:t xml:space="preserve"> currently procuring a review of the relevant scientific methods required to repeat the QMRA. The updated QMRA is schedule</w:t>
      </w:r>
      <w:r w:rsidR="00236FBF">
        <w:t xml:space="preserve">d to be performed over the 2017 to </w:t>
      </w:r>
      <w:r w:rsidR="00D227F2" w:rsidRPr="00D227F2">
        <w:t>2019 swimming season</w:t>
      </w:r>
      <w:r w:rsidR="00236FBF">
        <w:t>s</w:t>
      </w:r>
      <w:r w:rsidR="00D227F2">
        <w:t>.</w:t>
      </w:r>
    </w:p>
    <w:p w:rsidR="004D27D3" w:rsidRDefault="00797557" w:rsidP="00797557">
      <w:pPr>
        <w:pStyle w:val="Heading3"/>
      </w:pPr>
      <w:bookmarkStart w:id="37" w:name="_Toc479073470"/>
      <w:r>
        <w:t>Limitations of the Q</w:t>
      </w:r>
      <w:r w:rsidR="00B10561">
        <w:t>M</w:t>
      </w:r>
      <w:r>
        <w:t>RA</w:t>
      </w:r>
      <w:bookmarkEnd w:id="37"/>
    </w:p>
    <w:p w:rsidR="00797557" w:rsidRDefault="00797557" w:rsidP="004D27D3">
      <w:pPr>
        <w:pStyle w:val="BodyText"/>
      </w:pPr>
      <w:r>
        <w:t xml:space="preserve">As with all scientific studies, there are some uncertainties and assumptions built into the </w:t>
      </w:r>
      <w:r w:rsidR="00B10561">
        <w:t xml:space="preserve">QMRA </w:t>
      </w:r>
      <w:r>
        <w:t xml:space="preserve">which may affect its accuracy. </w:t>
      </w:r>
      <w:r w:rsidR="00561624">
        <w:t>Some of the main ones</w:t>
      </w:r>
      <w:r>
        <w:t xml:space="preserve"> are:</w:t>
      </w:r>
    </w:p>
    <w:p w:rsidR="00797557" w:rsidRDefault="00797557" w:rsidP="00267374">
      <w:pPr>
        <w:pStyle w:val="Bullet"/>
        <w:keepLines w:val="0"/>
        <w:numPr>
          <w:ilvl w:val="0"/>
          <w:numId w:val="10"/>
        </w:numPr>
        <w:tabs>
          <w:tab w:val="left" w:pos="397"/>
        </w:tabs>
        <w:spacing w:before="0" w:line="280" w:lineRule="exact"/>
        <w:ind w:left="397" w:hanging="397"/>
        <w:jc w:val="left"/>
      </w:pPr>
      <w:r w:rsidRPr="00561624">
        <w:rPr>
          <w:b/>
        </w:rPr>
        <w:t xml:space="preserve">The susceptibility of </w:t>
      </w:r>
      <w:r w:rsidR="005B0910">
        <w:rPr>
          <w:b/>
        </w:rPr>
        <w:t>different age groups</w:t>
      </w:r>
      <w:r w:rsidR="005B0910" w:rsidRPr="00561624">
        <w:rPr>
          <w:b/>
        </w:rPr>
        <w:t xml:space="preserve"> </w:t>
      </w:r>
      <w:r w:rsidRPr="00561624">
        <w:rPr>
          <w:b/>
        </w:rPr>
        <w:t>to infection:</w:t>
      </w:r>
      <w:r>
        <w:t xml:space="preserve"> </w:t>
      </w:r>
      <w:r w:rsidR="00EC1472">
        <w:t xml:space="preserve">the study looked at rates of </w:t>
      </w:r>
      <w:r w:rsidR="00D75F6D">
        <w:rPr>
          <w:i/>
        </w:rPr>
        <w:t>C</w:t>
      </w:r>
      <w:r w:rsidR="00EC1472" w:rsidRPr="00D75F6D">
        <w:rPr>
          <w:i/>
        </w:rPr>
        <w:t>ampylobacter</w:t>
      </w:r>
      <w:r w:rsidR="00EC1472">
        <w:t xml:space="preserve"> </w:t>
      </w:r>
      <w:r w:rsidR="00EC1472" w:rsidRPr="00267374">
        <w:rPr>
          <w:rFonts w:eastAsia="Times New Roman" w:cs="Times New Roman"/>
          <w:szCs w:val="20"/>
        </w:rPr>
        <w:t>infection</w:t>
      </w:r>
      <w:r w:rsidR="00EC1472">
        <w:t xml:space="preserve"> in adults. However</w:t>
      </w:r>
      <w:r w:rsidR="00056FE6">
        <w:t>,</w:t>
      </w:r>
      <w:r w:rsidR="00EC1472">
        <w:t xml:space="preserve"> there is some evidence that children may be more likely to become sick from </w:t>
      </w:r>
      <w:r w:rsidR="00EC1472" w:rsidRPr="00D75F6D">
        <w:rPr>
          <w:i/>
        </w:rPr>
        <w:t>Campylobacter</w:t>
      </w:r>
      <w:r w:rsidR="00EC1472">
        <w:t xml:space="preserve"> than adults. Some of this may simply be due to the fact that they are exposed more often (eg, swim for longer and </w:t>
      </w:r>
      <w:r w:rsidR="00F237B8">
        <w:t xml:space="preserve">swallow </w:t>
      </w:r>
      <w:r w:rsidR="00EC1472">
        <w:t>more water when they do), but there is also a possibility that children could become sick from a smaller dose.</w:t>
      </w:r>
      <w:r w:rsidR="005B0910">
        <w:t xml:space="preserve"> </w:t>
      </w:r>
      <w:r w:rsidR="00196195">
        <w:t>E</w:t>
      </w:r>
      <w:r w:rsidR="005B0910">
        <w:t>lderly people may also be more susceptible to infection.</w:t>
      </w:r>
    </w:p>
    <w:p w:rsidR="00EC1472" w:rsidRDefault="00EC1472" w:rsidP="00267374">
      <w:pPr>
        <w:pStyle w:val="Bullet"/>
        <w:keepLines w:val="0"/>
        <w:numPr>
          <w:ilvl w:val="0"/>
          <w:numId w:val="10"/>
        </w:numPr>
        <w:tabs>
          <w:tab w:val="left" w:pos="397"/>
        </w:tabs>
        <w:spacing w:before="0" w:line="280" w:lineRule="exact"/>
        <w:ind w:left="397" w:hanging="397"/>
        <w:jc w:val="left"/>
      </w:pPr>
      <w:r w:rsidRPr="00594C32">
        <w:rPr>
          <w:b/>
        </w:rPr>
        <w:t xml:space="preserve">Different species of </w:t>
      </w:r>
      <w:r w:rsidRPr="00D75F6D">
        <w:rPr>
          <w:b/>
          <w:i/>
        </w:rPr>
        <w:t>Campylobacter</w:t>
      </w:r>
      <w:r w:rsidRPr="00594C32">
        <w:rPr>
          <w:b/>
        </w:rPr>
        <w:t>:</w:t>
      </w:r>
      <w:r>
        <w:t xml:space="preserve"> there are multiple strains of </w:t>
      </w:r>
      <w:r w:rsidRPr="00D75F6D">
        <w:rPr>
          <w:i/>
        </w:rPr>
        <w:t>Campylobacter</w:t>
      </w:r>
      <w:r>
        <w:t xml:space="preserve">. This study </w:t>
      </w:r>
      <w:r w:rsidRPr="00267374">
        <w:rPr>
          <w:rFonts w:eastAsia="Times New Roman" w:cs="Times New Roman"/>
          <w:szCs w:val="20"/>
        </w:rPr>
        <w:t>assumed</w:t>
      </w:r>
      <w:r>
        <w:t xml:space="preserve"> every strain was equally </w:t>
      </w:r>
      <w:r w:rsidR="00AE2288">
        <w:t>infectious</w:t>
      </w:r>
      <w:r>
        <w:t>, but there is evidence to suggest that some strains are more infectious than others.</w:t>
      </w:r>
    </w:p>
    <w:p w:rsidR="00EC1472" w:rsidRPr="004D27D3" w:rsidRDefault="00EC1472" w:rsidP="00267374">
      <w:pPr>
        <w:pStyle w:val="Bullet"/>
        <w:keepLines w:val="0"/>
        <w:numPr>
          <w:ilvl w:val="0"/>
          <w:numId w:val="10"/>
        </w:numPr>
        <w:tabs>
          <w:tab w:val="left" w:pos="397"/>
        </w:tabs>
        <w:spacing w:before="0" w:line="280" w:lineRule="exact"/>
        <w:ind w:left="397" w:hanging="397"/>
        <w:jc w:val="left"/>
      </w:pPr>
      <w:r w:rsidRPr="00594C32">
        <w:rPr>
          <w:b/>
        </w:rPr>
        <w:t>Other pathogens:</w:t>
      </w:r>
      <w:r>
        <w:t xml:space="preserve"> this study only looked at the link between </w:t>
      </w:r>
      <w:r w:rsidR="00CA4FEA" w:rsidRPr="00CA4FEA">
        <w:rPr>
          <w:i/>
        </w:rPr>
        <w:t>E.</w:t>
      </w:r>
      <w:r w:rsidR="00A252B6">
        <w:rPr>
          <w:i/>
        </w:rPr>
        <w:t xml:space="preserve"> </w:t>
      </w:r>
      <w:r w:rsidR="00CA4FEA" w:rsidRPr="00CA4FEA">
        <w:rPr>
          <w:i/>
        </w:rPr>
        <w:t>coli</w:t>
      </w:r>
      <w:r>
        <w:t xml:space="preserve"> and </w:t>
      </w:r>
      <w:r w:rsidRPr="00D75F6D">
        <w:rPr>
          <w:i/>
        </w:rPr>
        <w:t>Campylobacter</w:t>
      </w:r>
      <w:r>
        <w:t xml:space="preserve">. It didn’t look at how well </w:t>
      </w:r>
      <w:r w:rsidR="00CA4FEA" w:rsidRPr="00CA4FEA">
        <w:rPr>
          <w:i/>
        </w:rPr>
        <w:t>E.</w:t>
      </w:r>
      <w:r w:rsidR="00A252B6">
        <w:rPr>
          <w:i/>
        </w:rPr>
        <w:t xml:space="preserve"> </w:t>
      </w:r>
      <w:r w:rsidR="00CA4FEA" w:rsidRPr="00CA4FEA">
        <w:rPr>
          <w:i/>
        </w:rPr>
        <w:t>coli</w:t>
      </w:r>
      <w:r>
        <w:t xml:space="preserve"> indicated the presence of other pathogens.</w:t>
      </w:r>
    </w:p>
    <w:p w:rsidR="00F66F28" w:rsidRDefault="00F66F28" w:rsidP="00262001">
      <w:pPr>
        <w:pStyle w:val="Heading2"/>
      </w:pPr>
      <w:bookmarkStart w:id="38" w:name="_Risk_profiles_of"/>
      <w:bookmarkStart w:id="39" w:name="_Toc479073471"/>
      <w:bookmarkStart w:id="40" w:name="_Toc482112354"/>
      <w:bookmarkEnd w:id="38"/>
      <w:r>
        <w:t>Risk profiles of the swimming categories</w:t>
      </w:r>
      <w:bookmarkEnd w:id="39"/>
      <w:bookmarkEnd w:id="40"/>
    </w:p>
    <w:p w:rsidR="00E27946" w:rsidRDefault="0038486E" w:rsidP="00F66F28">
      <w:pPr>
        <w:pStyle w:val="BodyText"/>
      </w:pPr>
      <w:r>
        <w:t xml:space="preserve">By looking at the </w:t>
      </w:r>
      <w:r w:rsidR="00E27946">
        <w:t xml:space="preserve">distribution of </w:t>
      </w:r>
      <w:r w:rsidR="00CA4FEA" w:rsidRPr="00CA4FEA">
        <w:rPr>
          <w:i/>
        </w:rPr>
        <w:t>E.</w:t>
      </w:r>
      <w:r w:rsidR="00A252B6">
        <w:rPr>
          <w:i/>
        </w:rPr>
        <w:t xml:space="preserve"> </w:t>
      </w:r>
      <w:r w:rsidR="00CA4FEA" w:rsidRPr="00CA4FEA">
        <w:rPr>
          <w:i/>
        </w:rPr>
        <w:t>coli</w:t>
      </w:r>
      <w:r w:rsidR="00E27946">
        <w:t xml:space="preserve"> and the </w:t>
      </w:r>
      <w:r w:rsidR="00594C32">
        <w:t>statistical tests (median, 95</w:t>
      </w:r>
      <w:r w:rsidR="00594C32" w:rsidRPr="00594C32">
        <w:rPr>
          <w:vertAlign w:val="superscript"/>
        </w:rPr>
        <w:t>th</w:t>
      </w:r>
      <w:r w:rsidR="00594C32">
        <w:t xml:space="preserve"> percentile, and exceedances of the 540 and 260 thresholds) it’s possible to estimate a risk profile for each of the five proposed swimming categories.</w:t>
      </w:r>
      <w:r w:rsidR="00E27946">
        <w:t xml:space="preserve"> </w:t>
      </w:r>
      <w:r w:rsidR="00F93309">
        <w:t xml:space="preserve">The better the category, the </w:t>
      </w:r>
      <w:r w:rsidR="000D4F8B">
        <w:t>lower the risk</w:t>
      </w:r>
      <w:r w:rsidR="00F93309">
        <w:t xml:space="preserve"> – </w:t>
      </w:r>
      <w:r w:rsidR="0058335F">
        <w:t>therefore</w:t>
      </w:r>
      <w:r w:rsidR="00056FE6">
        <w:t>,</w:t>
      </w:r>
      <w:r w:rsidR="0058335F">
        <w:t xml:space="preserve"> the better the category the less high, less often, the </w:t>
      </w:r>
      <w:r w:rsidR="00CA4FEA" w:rsidRPr="00CA4FEA">
        <w:rPr>
          <w:i/>
        </w:rPr>
        <w:t>E.</w:t>
      </w:r>
      <w:r w:rsidR="00A252B6">
        <w:rPr>
          <w:i/>
        </w:rPr>
        <w:t xml:space="preserve"> </w:t>
      </w:r>
      <w:r w:rsidR="00CA4FEA" w:rsidRPr="00CA4FEA">
        <w:rPr>
          <w:i/>
        </w:rPr>
        <w:t>coli</w:t>
      </w:r>
      <w:r w:rsidR="0058335F">
        <w:t xml:space="preserve"> levels are likely to get.</w:t>
      </w:r>
    </w:p>
    <w:p w:rsidR="0008171F" w:rsidRDefault="008A53A6" w:rsidP="00F66F28">
      <w:pPr>
        <w:pStyle w:val="BodyText"/>
      </w:pPr>
      <w:r>
        <w:t xml:space="preserve">Table </w:t>
      </w:r>
      <w:r w:rsidR="00E411CB">
        <w:t>4</w:t>
      </w:r>
      <w:r>
        <w:t xml:space="preserve"> shows the risk profiles in terms of how </w:t>
      </w:r>
      <w:r w:rsidR="00E13F7F">
        <w:t>the risk</w:t>
      </w:r>
      <w:r>
        <w:t xml:space="preserve"> change</w:t>
      </w:r>
      <w:r w:rsidR="00E13F7F">
        <w:t>s</w:t>
      </w:r>
      <w:r>
        <w:t xml:space="preserve"> </w:t>
      </w:r>
      <w:r w:rsidR="00344FA0">
        <w:t xml:space="preserve">– </w:t>
      </w:r>
      <w:r>
        <w:t xml:space="preserve">it shows how much of the time the risk is minimal (less than one in 1000) and how much of the time it is over the </w:t>
      </w:r>
      <w:r w:rsidR="008D5CD3">
        <w:t xml:space="preserve">acceptable </w:t>
      </w:r>
      <w:r>
        <w:t>threshold (</w:t>
      </w:r>
      <w:r w:rsidR="00DE0385">
        <w:t xml:space="preserve">one in 20 risk or greater). Table </w:t>
      </w:r>
      <w:r w:rsidR="00E411CB">
        <w:t>5</w:t>
      </w:r>
      <w:r w:rsidR="00DE0385">
        <w:t xml:space="preserve"> </w:t>
      </w:r>
      <w:r w:rsidR="0043433A">
        <w:t xml:space="preserve">provides more information about </w:t>
      </w:r>
      <w:r w:rsidR="00DE0385">
        <w:t xml:space="preserve">the risk profiles as averages across all time. </w:t>
      </w:r>
    </w:p>
    <w:p w:rsidR="00DE0385" w:rsidRDefault="00DE0385" w:rsidP="008A688D">
      <w:pPr>
        <w:pStyle w:val="Tableheading0"/>
        <w:ind w:left="993" w:hanging="993"/>
      </w:pPr>
      <w:r>
        <w:lastRenderedPageBreak/>
        <w:t xml:space="preserve">Table </w:t>
      </w:r>
      <w:r w:rsidR="00E411CB">
        <w:t>4</w:t>
      </w:r>
      <w:r>
        <w:t>:</w:t>
      </w:r>
      <w:r w:rsidR="008A688D">
        <w:tab/>
      </w:r>
      <w:r w:rsidR="00425C76">
        <w:t xml:space="preserve">Risk of </w:t>
      </w:r>
      <w:r w:rsidR="00344FA0">
        <w:rPr>
          <w:i/>
        </w:rPr>
        <w:t>C</w:t>
      </w:r>
      <w:r w:rsidR="00425C76" w:rsidRPr="00D75F6D">
        <w:rPr>
          <w:i/>
        </w:rPr>
        <w:t>ampylobacter</w:t>
      </w:r>
      <w:r w:rsidR="00425C76">
        <w:t xml:space="preserve"> infection based on swimming categories</w:t>
      </w:r>
    </w:p>
    <w:tbl>
      <w:tblPr>
        <w:tblStyle w:val="GridTable4Accent1"/>
        <w:tblW w:w="9172" w:type="dxa"/>
        <w:tblBorders>
          <w:top w:val="single" w:sz="4" w:space="0" w:color="267998"/>
          <w:left w:val="single" w:sz="4" w:space="0" w:color="267998"/>
          <w:bottom w:val="single" w:sz="4" w:space="0" w:color="267998"/>
          <w:right w:val="single" w:sz="4" w:space="0" w:color="267998"/>
          <w:insideH w:val="single" w:sz="4" w:space="0" w:color="267998"/>
          <w:insideV w:val="single" w:sz="4" w:space="0" w:color="267998"/>
        </w:tblBorders>
        <w:tblLook w:val="06A0" w:firstRow="1" w:lastRow="0" w:firstColumn="1" w:lastColumn="0" w:noHBand="1" w:noVBand="1"/>
      </w:tblPr>
      <w:tblGrid>
        <w:gridCol w:w="1246"/>
        <w:gridCol w:w="1353"/>
        <w:gridCol w:w="1398"/>
        <w:gridCol w:w="1337"/>
        <w:gridCol w:w="3838"/>
      </w:tblGrid>
      <w:tr w:rsidR="00F93B31" w:rsidRPr="008E331F" w:rsidTr="008E331F">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969" w:type="dxa"/>
            <w:tcBorders>
              <w:top w:val="single" w:sz="4" w:space="0" w:color="1C556C"/>
              <w:left w:val="nil"/>
              <w:bottom w:val="single" w:sz="4" w:space="0" w:color="1C556C"/>
              <w:right w:val="single" w:sz="4" w:space="0" w:color="1C556C"/>
            </w:tcBorders>
            <w:shd w:val="clear" w:color="auto" w:fill="1C556C"/>
          </w:tcPr>
          <w:p w:rsidR="00F93B31" w:rsidRPr="008E331F" w:rsidRDefault="00F93B31" w:rsidP="008E331F">
            <w:pPr>
              <w:pStyle w:val="TableTextbold"/>
              <w:rPr>
                <w:rFonts w:cs="Times New Roman"/>
                <w:b/>
                <w:bCs w:val="0"/>
                <w:szCs w:val="20"/>
                <w:lang w:val="en-NZ"/>
              </w:rPr>
            </w:pPr>
            <w:r w:rsidRPr="008E331F">
              <w:rPr>
                <w:rFonts w:cs="Times New Roman"/>
                <w:b/>
                <w:bCs w:val="0"/>
                <w:szCs w:val="20"/>
                <w:lang w:val="en-NZ"/>
              </w:rPr>
              <w:t>Category</w:t>
            </w:r>
          </w:p>
        </w:tc>
        <w:tc>
          <w:tcPr>
            <w:tcW w:w="1371" w:type="dxa"/>
            <w:tcBorders>
              <w:top w:val="single" w:sz="4" w:space="0" w:color="1C556C"/>
              <w:left w:val="single" w:sz="4" w:space="0" w:color="1C556C"/>
              <w:bottom w:val="single" w:sz="4" w:space="0" w:color="1C556C"/>
              <w:right w:val="single" w:sz="4" w:space="0" w:color="1C556C"/>
            </w:tcBorders>
            <w:shd w:val="clear" w:color="auto" w:fill="1C556C"/>
          </w:tcPr>
          <w:p w:rsidR="00F93B31" w:rsidRPr="008E331F" w:rsidRDefault="0043433A" w:rsidP="004927F8">
            <w:pPr>
              <w:pStyle w:val="TableTextbold"/>
              <w:cnfStyle w:val="100000000000" w:firstRow="1" w:lastRow="0" w:firstColumn="0" w:lastColumn="0" w:oddVBand="0" w:evenVBand="0" w:oddHBand="0" w:evenHBand="0" w:firstRowFirstColumn="0" w:firstRowLastColumn="0" w:lastRowFirstColumn="0" w:lastRowLastColumn="0"/>
              <w:rPr>
                <w:rFonts w:cs="Times New Roman"/>
                <w:b/>
                <w:bCs w:val="0"/>
                <w:szCs w:val="20"/>
                <w:lang w:val="en-NZ"/>
              </w:rPr>
            </w:pPr>
            <w:r w:rsidRPr="008E331F">
              <w:rPr>
                <w:rFonts w:cs="Times New Roman"/>
                <w:b/>
                <w:bCs w:val="0"/>
                <w:szCs w:val="20"/>
                <w:lang w:val="en-NZ"/>
              </w:rPr>
              <w:t>%</w:t>
            </w:r>
            <w:r w:rsidR="00F93B31" w:rsidRPr="008E331F">
              <w:rPr>
                <w:rFonts w:cs="Times New Roman"/>
                <w:b/>
                <w:bCs w:val="0"/>
                <w:szCs w:val="20"/>
                <w:lang w:val="en-NZ"/>
              </w:rPr>
              <w:t xml:space="preserve"> exceedances over 540 cfu/100m</w:t>
            </w:r>
            <w:r w:rsidR="004927F8">
              <w:rPr>
                <w:rFonts w:cs="Times New Roman"/>
                <w:b/>
                <w:bCs w:val="0"/>
                <w:szCs w:val="20"/>
                <w:lang w:val="en-NZ"/>
              </w:rPr>
              <w:t>l</w:t>
            </w:r>
          </w:p>
        </w:tc>
        <w:tc>
          <w:tcPr>
            <w:tcW w:w="1419" w:type="dxa"/>
            <w:tcBorders>
              <w:top w:val="single" w:sz="4" w:space="0" w:color="1C556C"/>
              <w:left w:val="single" w:sz="4" w:space="0" w:color="1C556C"/>
              <w:bottom w:val="single" w:sz="4" w:space="0" w:color="1C556C"/>
              <w:right w:val="single" w:sz="4" w:space="0" w:color="1C556C"/>
            </w:tcBorders>
            <w:shd w:val="clear" w:color="auto" w:fill="1C556C"/>
          </w:tcPr>
          <w:p w:rsidR="00F93B31" w:rsidRPr="008E331F" w:rsidRDefault="0043433A" w:rsidP="004927F8">
            <w:pPr>
              <w:pStyle w:val="TableTextbold"/>
              <w:cnfStyle w:val="100000000000" w:firstRow="1" w:lastRow="0" w:firstColumn="0" w:lastColumn="0" w:oddVBand="0" w:evenVBand="0" w:oddHBand="0" w:evenHBand="0" w:firstRowFirstColumn="0" w:firstRowLastColumn="0" w:lastRowFirstColumn="0" w:lastRowLastColumn="0"/>
              <w:rPr>
                <w:rFonts w:cs="Times New Roman"/>
                <w:b/>
                <w:bCs w:val="0"/>
                <w:szCs w:val="20"/>
                <w:lang w:val="en-NZ"/>
              </w:rPr>
            </w:pPr>
            <w:r w:rsidRPr="008E331F">
              <w:rPr>
                <w:rFonts w:cs="Times New Roman"/>
                <w:b/>
                <w:bCs w:val="0"/>
                <w:szCs w:val="20"/>
                <w:lang w:val="en-NZ"/>
              </w:rPr>
              <w:t>%</w:t>
            </w:r>
            <w:r w:rsidR="00F93B31" w:rsidRPr="008E331F">
              <w:rPr>
                <w:rFonts w:cs="Times New Roman"/>
                <w:b/>
                <w:bCs w:val="0"/>
                <w:szCs w:val="20"/>
                <w:lang w:val="en-NZ"/>
              </w:rPr>
              <w:t xml:space="preserve"> exceedances over 260 cfu/100m</w:t>
            </w:r>
            <w:r w:rsidR="004927F8">
              <w:rPr>
                <w:rFonts w:cs="Times New Roman"/>
                <w:b/>
                <w:bCs w:val="0"/>
                <w:szCs w:val="20"/>
                <w:lang w:val="en-NZ"/>
              </w:rPr>
              <w:t>l</w:t>
            </w:r>
          </w:p>
        </w:tc>
        <w:tc>
          <w:tcPr>
            <w:tcW w:w="1344" w:type="dxa"/>
            <w:tcBorders>
              <w:top w:val="single" w:sz="4" w:space="0" w:color="1C556C"/>
              <w:left w:val="single" w:sz="4" w:space="0" w:color="1C556C"/>
              <w:bottom w:val="single" w:sz="4" w:space="0" w:color="1C556C"/>
              <w:right w:val="single" w:sz="4" w:space="0" w:color="1C556C"/>
            </w:tcBorders>
            <w:shd w:val="clear" w:color="auto" w:fill="1C556C"/>
          </w:tcPr>
          <w:p w:rsidR="00F93B31" w:rsidRPr="008E331F" w:rsidRDefault="0043433A" w:rsidP="004927F8">
            <w:pPr>
              <w:pStyle w:val="TableTextbold"/>
              <w:cnfStyle w:val="100000000000" w:firstRow="1" w:lastRow="0" w:firstColumn="0" w:lastColumn="0" w:oddVBand="0" w:evenVBand="0" w:oddHBand="0" w:evenHBand="0" w:firstRowFirstColumn="0" w:firstRowLastColumn="0" w:lastRowFirstColumn="0" w:lastRowLastColumn="0"/>
              <w:rPr>
                <w:rFonts w:cs="Times New Roman"/>
                <w:b/>
                <w:bCs w:val="0"/>
                <w:szCs w:val="20"/>
                <w:lang w:val="en-NZ"/>
              </w:rPr>
            </w:pPr>
            <w:r w:rsidRPr="008E331F">
              <w:rPr>
                <w:rFonts w:cs="Times New Roman"/>
                <w:b/>
                <w:bCs w:val="0"/>
                <w:szCs w:val="20"/>
                <w:lang w:val="en-NZ"/>
              </w:rPr>
              <w:t xml:space="preserve">Median </w:t>
            </w:r>
            <w:r w:rsidR="00F93B31" w:rsidRPr="008E331F">
              <w:rPr>
                <w:rFonts w:cs="Times New Roman"/>
                <w:b/>
                <w:bCs w:val="0"/>
                <w:szCs w:val="20"/>
                <w:lang w:val="en-NZ"/>
              </w:rPr>
              <w:t>concentration (cfu/100m</w:t>
            </w:r>
            <w:r w:rsidR="004927F8">
              <w:rPr>
                <w:rFonts w:cs="Times New Roman"/>
                <w:b/>
                <w:bCs w:val="0"/>
                <w:szCs w:val="20"/>
                <w:lang w:val="en-NZ"/>
              </w:rPr>
              <w:t>l</w:t>
            </w:r>
            <w:r w:rsidR="00F93B31" w:rsidRPr="008E331F">
              <w:rPr>
                <w:rFonts w:cs="Times New Roman"/>
                <w:b/>
                <w:bCs w:val="0"/>
                <w:szCs w:val="20"/>
                <w:lang w:val="en-NZ"/>
              </w:rPr>
              <w:t>)</w:t>
            </w:r>
          </w:p>
        </w:tc>
        <w:tc>
          <w:tcPr>
            <w:tcW w:w="4069" w:type="dxa"/>
            <w:tcBorders>
              <w:top w:val="single" w:sz="4" w:space="0" w:color="1C556C"/>
              <w:left w:val="single" w:sz="4" w:space="0" w:color="1C556C"/>
              <w:bottom w:val="single" w:sz="4" w:space="0" w:color="1C556C"/>
              <w:right w:val="nil"/>
            </w:tcBorders>
            <w:shd w:val="clear" w:color="auto" w:fill="1C556C"/>
          </w:tcPr>
          <w:p w:rsidR="00291B62" w:rsidRPr="008E331F" w:rsidRDefault="00F93B31" w:rsidP="008E331F">
            <w:pPr>
              <w:pStyle w:val="TableTextbold"/>
              <w:cnfStyle w:val="100000000000" w:firstRow="1" w:lastRow="0" w:firstColumn="0" w:lastColumn="0" w:oddVBand="0" w:evenVBand="0" w:oddHBand="0" w:evenHBand="0" w:firstRowFirstColumn="0" w:firstRowLastColumn="0" w:lastRowFirstColumn="0" w:lastRowLastColumn="0"/>
              <w:rPr>
                <w:rFonts w:cs="Times New Roman"/>
                <w:b/>
                <w:bCs w:val="0"/>
                <w:szCs w:val="20"/>
                <w:lang w:val="en-NZ"/>
              </w:rPr>
            </w:pPr>
            <w:r w:rsidRPr="008E331F">
              <w:rPr>
                <w:rFonts w:cs="Times New Roman"/>
                <w:b/>
                <w:bCs w:val="0"/>
                <w:szCs w:val="20"/>
                <w:lang w:val="en-NZ"/>
              </w:rPr>
              <w:t xml:space="preserve">Description of swimmability – risk of </w:t>
            </w:r>
            <w:r w:rsidRPr="00D75F6D">
              <w:rPr>
                <w:rFonts w:cs="Times New Roman"/>
                <w:b/>
                <w:bCs w:val="0"/>
                <w:i/>
                <w:szCs w:val="20"/>
                <w:lang w:val="en-NZ"/>
              </w:rPr>
              <w:t>Campylobacter</w:t>
            </w:r>
            <w:r w:rsidRPr="008E331F">
              <w:rPr>
                <w:rFonts w:cs="Times New Roman"/>
                <w:b/>
                <w:bCs w:val="0"/>
                <w:szCs w:val="20"/>
                <w:lang w:val="en-NZ"/>
              </w:rPr>
              <w:t xml:space="preserve"> infection (based on </w:t>
            </w:r>
            <w:r w:rsidRPr="00057AC1">
              <w:rPr>
                <w:rFonts w:cs="Times New Roman"/>
                <w:b/>
                <w:bCs w:val="0"/>
                <w:i/>
                <w:szCs w:val="20"/>
                <w:lang w:val="en-NZ"/>
              </w:rPr>
              <w:t>E. coli</w:t>
            </w:r>
            <w:r w:rsidRPr="008E331F">
              <w:rPr>
                <w:rFonts w:cs="Times New Roman"/>
                <w:b/>
                <w:bCs w:val="0"/>
                <w:szCs w:val="20"/>
                <w:lang w:val="en-NZ"/>
              </w:rPr>
              <w:t xml:space="preserve"> indicator)</w:t>
            </w:r>
          </w:p>
        </w:tc>
      </w:tr>
      <w:tr w:rsidR="00F93B31" w:rsidRPr="001D2EF5" w:rsidTr="008E331F">
        <w:trPr>
          <w:trHeight w:val="20"/>
        </w:trPr>
        <w:tc>
          <w:tcPr>
            <w:cnfStyle w:val="001000000000" w:firstRow="0" w:lastRow="0" w:firstColumn="1" w:lastColumn="0" w:oddVBand="0" w:evenVBand="0" w:oddHBand="0" w:evenHBand="0" w:firstRowFirstColumn="0" w:firstRowLastColumn="0" w:lastRowFirstColumn="0" w:lastRowLastColumn="0"/>
            <w:tcW w:w="969" w:type="dxa"/>
            <w:tcBorders>
              <w:top w:val="single" w:sz="4" w:space="0" w:color="1C556C"/>
              <w:left w:val="nil"/>
            </w:tcBorders>
          </w:tcPr>
          <w:p w:rsidR="00F93B31" w:rsidRPr="001D2EF5" w:rsidRDefault="00F93B31" w:rsidP="008E331F">
            <w:pPr>
              <w:pStyle w:val="TableText"/>
              <w:spacing w:line="240" w:lineRule="atLeast"/>
              <w:jc w:val="left"/>
              <w:rPr>
                <w:rFonts w:cs="Times New Roman"/>
                <w:szCs w:val="20"/>
              </w:rPr>
            </w:pPr>
            <w:r w:rsidRPr="001D2EF5">
              <w:rPr>
                <w:rFonts w:cs="Times New Roman"/>
                <w:szCs w:val="20"/>
              </w:rPr>
              <w:t>Blue / Excellent</w:t>
            </w:r>
          </w:p>
        </w:tc>
        <w:tc>
          <w:tcPr>
            <w:tcW w:w="1371" w:type="dxa"/>
            <w:tcBorders>
              <w:top w:val="single" w:sz="4" w:space="0" w:color="1C556C"/>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&lt;5%</w:t>
            </w:r>
          </w:p>
        </w:tc>
        <w:tc>
          <w:tcPr>
            <w:tcW w:w="1419" w:type="dxa"/>
            <w:tcBorders>
              <w:top w:val="single" w:sz="4" w:space="0" w:color="1C556C"/>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&lt;20%</w:t>
            </w:r>
          </w:p>
        </w:tc>
        <w:tc>
          <w:tcPr>
            <w:tcW w:w="1344" w:type="dxa"/>
            <w:tcBorders>
              <w:top w:val="single" w:sz="4" w:space="0" w:color="1C556C"/>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 xml:space="preserve">≤130 </w:t>
            </w:r>
          </w:p>
        </w:tc>
        <w:tc>
          <w:tcPr>
            <w:tcW w:w="4069" w:type="dxa"/>
            <w:tcBorders>
              <w:top w:val="single" w:sz="4" w:space="0" w:color="1C556C"/>
              <w:right w:val="nil"/>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For at least half the time, the estimated r</w:t>
            </w:r>
            <w:r w:rsidR="00344FA0" w:rsidRPr="001D2EF5">
              <w:rPr>
                <w:rFonts w:cs="Times New Roman"/>
                <w:szCs w:val="20"/>
              </w:rPr>
              <w:t>isk is &lt;1 in 1000 (0.1% risk)</w:t>
            </w:r>
          </w:p>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Less than 5% of the time, the estimated risk is ≥50 in 1000 (&gt;5% risk)</w:t>
            </w:r>
          </w:p>
          <w:p w:rsidR="00F93B31" w:rsidRPr="001D2EF5" w:rsidRDefault="00F93B31" w:rsidP="00183874">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b/>
                <w:szCs w:val="20"/>
              </w:rPr>
            </w:pPr>
            <w:r w:rsidRPr="001D2EF5">
              <w:rPr>
                <w:rFonts w:cs="Times New Roman"/>
                <w:b/>
                <w:szCs w:val="20"/>
              </w:rPr>
              <w:t xml:space="preserve">Overall risk across all time (not taking season or weather into account) is </w:t>
            </w:r>
            <w:r w:rsidR="0073250A" w:rsidRPr="001D2EF5">
              <w:rPr>
                <w:rFonts w:cs="Times New Roman"/>
                <w:b/>
                <w:szCs w:val="20"/>
              </w:rPr>
              <w:t xml:space="preserve">&lt; </w:t>
            </w:r>
            <w:r w:rsidRPr="001D2EF5">
              <w:rPr>
                <w:rFonts w:cs="Times New Roman"/>
                <w:b/>
                <w:szCs w:val="20"/>
              </w:rPr>
              <w:t>1%</w:t>
            </w:r>
          </w:p>
        </w:tc>
      </w:tr>
      <w:tr w:rsidR="00F93B31" w:rsidRPr="001D2EF5" w:rsidTr="008E331F">
        <w:trPr>
          <w:trHeight w:val="508"/>
        </w:trPr>
        <w:tc>
          <w:tcPr>
            <w:cnfStyle w:val="001000000000" w:firstRow="0" w:lastRow="0" w:firstColumn="1" w:lastColumn="0" w:oddVBand="0" w:evenVBand="0" w:oddHBand="0" w:evenHBand="0" w:firstRowFirstColumn="0" w:firstRowLastColumn="0" w:lastRowFirstColumn="0" w:lastRowLastColumn="0"/>
            <w:tcW w:w="969" w:type="dxa"/>
            <w:tcBorders>
              <w:left w:val="nil"/>
            </w:tcBorders>
          </w:tcPr>
          <w:p w:rsidR="00F93B31" w:rsidRPr="001D2EF5" w:rsidRDefault="00F93B31" w:rsidP="008E331F">
            <w:pPr>
              <w:pStyle w:val="TableText"/>
              <w:spacing w:line="240" w:lineRule="atLeast"/>
              <w:jc w:val="left"/>
              <w:rPr>
                <w:rFonts w:cs="Times New Roman"/>
                <w:szCs w:val="20"/>
              </w:rPr>
            </w:pPr>
            <w:r w:rsidRPr="001D2EF5">
              <w:rPr>
                <w:rFonts w:cs="Times New Roman"/>
                <w:szCs w:val="20"/>
              </w:rPr>
              <w:t>Green / Good</w:t>
            </w:r>
          </w:p>
        </w:tc>
        <w:tc>
          <w:tcPr>
            <w:tcW w:w="1371"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5-10%</w:t>
            </w:r>
          </w:p>
        </w:tc>
        <w:tc>
          <w:tcPr>
            <w:tcW w:w="1419"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20-30%</w:t>
            </w:r>
          </w:p>
        </w:tc>
        <w:tc>
          <w:tcPr>
            <w:tcW w:w="1344"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≤130</w:t>
            </w:r>
          </w:p>
        </w:tc>
        <w:tc>
          <w:tcPr>
            <w:tcW w:w="4069" w:type="dxa"/>
            <w:tcBorders>
              <w:right w:val="nil"/>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 xml:space="preserve">For at least half the time, the estimated </w:t>
            </w:r>
            <w:r w:rsidR="00344FA0" w:rsidRPr="001D2EF5">
              <w:rPr>
                <w:rFonts w:cs="Times New Roman"/>
                <w:szCs w:val="20"/>
              </w:rPr>
              <w:t>risk is &lt;1 in 1000 (0.1% risk)</w:t>
            </w:r>
          </w:p>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5-10% of the time the estimated risk is ≥50 in 1000 (&gt;5% risk)</w:t>
            </w:r>
          </w:p>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b/>
                <w:szCs w:val="20"/>
              </w:rPr>
              <w:t>Overall risk across all time is &lt;2%</w:t>
            </w:r>
          </w:p>
        </w:tc>
      </w:tr>
      <w:tr w:rsidR="00F93B31" w:rsidRPr="001D2EF5" w:rsidTr="008E331F">
        <w:trPr>
          <w:trHeight w:val="20"/>
        </w:trPr>
        <w:tc>
          <w:tcPr>
            <w:cnfStyle w:val="001000000000" w:firstRow="0" w:lastRow="0" w:firstColumn="1" w:lastColumn="0" w:oddVBand="0" w:evenVBand="0" w:oddHBand="0" w:evenHBand="0" w:firstRowFirstColumn="0" w:firstRowLastColumn="0" w:lastRowFirstColumn="0" w:lastRowLastColumn="0"/>
            <w:tcW w:w="969" w:type="dxa"/>
            <w:tcBorders>
              <w:left w:val="nil"/>
            </w:tcBorders>
          </w:tcPr>
          <w:p w:rsidR="00F93B31" w:rsidRPr="001D2EF5" w:rsidRDefault="00F93B31" w:rsidP="008E331F">
            <w:pPr>
              <w:pStyle w:val="TableText"/>
              <w:spacing w:line="240" w:lineRule="atLeast"/>
              <w:jc w:val="left"/>
              <w:rPr>
                <w:rFonts w:cs="Times New Roman"/>
                <w:szCs w:val="20"/>
              </w:rPr>
            </w:pPr>
            <w:r w:rsidRPr="001D2EF5">
              <w:rPr>
                <w:rFonts w:cs="Times New Roman"/>
                <w:szCs w:val="20"/>
              </w:rPr>
              <w:t>Yellow / Fair</w:t>
            </w:r>
          </w:p>
        </w:tc>
        <w:tc>
          <w:tcPr>
            <w:tcW w:w="1371"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10-20%</w:t>
            </w:r>
          </w:p>
        </w:tc>
        <w:tc>
          <w:tcPr>
            <w:tcW w:w="1419"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20-34%</w:t>
            </w:r>
          </w:p>
        </w:tc>
        <w:tc>
          <w:tcPr>
            <w:tcW w:w="1344"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≤130</w:t>
            </w:r>
          </w:p>
        </w:tc>
        <w:tc>
          <w:tcPr>
            <w:tcW w:w="4069" w:type="dxa"/>
            <w:tcBorders>
              <w:right w:val="nil"/>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 xml:space="preserve">For at least half the time, the estimated risk is &lt;1 in 1000 (0.1% risk) </w:t>
            </w:r>
          </w:p>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10-20% of the time the estimated risk is ≥50 in 1000</w:t>
            </w:r>
          </w:p>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b/>
                <w:szCs w:val="20"/>
              </w:rPr>
              <w:t>Over</w:t>
            </w:r>
            <w:r w:rsidR="0073250A" w:rsidRPr="001D2EF5">
              <w:rPr>
                <w:rFonts w:cs="Times New Roman"/>
                <w:b/>
                <w:szCs w:val="20"/>
              </w:rPr>
              <w:t>all risk across all time is &lt;3</w:t>
            </w:r>
            <w:r w:rsidRPr="001D2EF5">
              <w:rPr>
                <w:rFonts w:cs="Times New Roman"/>
                <w:b/>
                <w:szCs w:val="20"/>
              </w:rPr>
              <w:t>%</w:t>
            </w:r>
          </w:p>
        </w:tc>
      </w:tr>
      <w:tr w:rsidR="00F93B31" w:rsidRPr="001D2EF5" w:rsidTr="008E331F">
        <w:trPr>
          <w:trHeight w:val="20"/>
        </w:trPr>
        <w:tc>
          <w:tcPr>
            <w:cnfStyle w:val="001000000000" w:firstRow="0" w:lastRow="0" w:firstColumn="1" w:lastColumn="0" w:oddVBand="0" w:evenVBand="0" w:oddHBand="0" w:evenHBand="0" w:firstRowFirstColumn="0" w:firstRowLastColumn="0" w:lastRowFirstColumn="0" w:lastRowLastColumn="0"/>
            <w:tcW w:w="969" w:type="dxa"/>
            <w:tcBorders>
              <w:left w:val="nil"/>
            </w:tcBorders>
          </w:tcPr>
          <w:p w:rsidR="00F93B31" w:rsidRPr="001D2EF5" w:rsidRDefault="00F93B31" w:rsidP="008E331F">
            <w:pPr>
              <w:pStyle w:val="TableText"/>
              <w:spacing w:line="240" w:lineRule="atLeast"/>
              <w:jc w:val="left"/>
              <w:rPr>
                <w:rFonts w:cs="Times New Roman"/>
                <w:szCs w:val="20"/>
              </w:rPr>
            </w:pPr>
            <w:r w:rsidRPr="001D2EF5">
              <w:rPr>
                <w:rFonts w:cs="Times New Roman"/>
                <w:szCs w:val="20"/>
              </w:rPr>
              <w:t xml:space="preserve">Orange / </w:t>
            </w:r>
            <w:r w:rsidR="00892DBC" w:rsidRPr="001D2EF5">
              <w:rPr>
                <w:rFonts w:cs="Times New Roman"/>
                <w:szCs w:val="20"/>
              </w:rPr>
              <w:t>Intermittent</w:t>
            </w:r>
          </w:p>
        </w:tc>
        <w:tc>
          <w:tcPr>
            <w:tcW w:w="1371"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20-30%</w:t>
            </w:r>
          </w:p>
        </w:tc>
        <w:tc>
          <w:tcPr>
            <w:tcW w:w="1419"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&gt;34%</w:t>
            </w:r>
          </w:p>
        </w:tc>
        <w:tc>
          <w:tcPr>
            <w:tcW w:w="1344"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&gt;130</w:t>
            </w:r>
          </w:p>
        </w:tc>
        <w:tc>
          <w:tcPr>
            <w:tcW w:w="4069" w:type="dxa"/>
            <w:tcBorders>
              <w:right w:val="nil"/>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20-30% of the time the estimated risk is  ≥50 in 1000 (&gt;5% risk)</w:t>
            </w:r>
          </w:p>
          <w:p w:rsidR="00F93B31" w:rsidRPr="001D2EF5" w:rsidRDefault="0073250A"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b/>
                <w:szCs w:val="20"/>
              </w:rPr>
              <w:t>Overall risk across all time is &gt;7%</w:t>
            </w:r>
          </w:p>
        </w:tc>
      </w:tr>
      <w:tr w:rsidR="00F93B31" w:rsidRPr="001D2EF5" w:rsidTr="008E331F">
        <w:trPr>
          <w:trHeight w:val="20"/>
        </w:trPr>
        <w:tc>
          <w:tcPr>
            <w:cnfStyle w:val="001000000000" w:firstRow="0" w:lastRow="0" w:firstColumn="1" w:lastColumn="0" w:oddVBand="0" w:evenVBand="0" w:oddHBand="0" w:evenHBand="0" w:firstRowFirstColumn="0" w:firstRowLastColumn="0" w:lastRowFirstColumn="0" w:lastRowLastColumn="0"/>
            <w:tcW w:w="969" w:type="dxa"/>
            <w:tcBorders>
              <w:left w:val="nil"/>
            </w:tcBorders>
          </w:tcPr>
          <w:p w:rsidR="00F93B31" w:rsidRPr="001D2EF5" w:rsidRDefault="00892DBC" w:rsidP="008E331F">
            <w:pPr>
              <w:pStyle w:val="TableText"/>
              <w:spacing w:line="240" w:lineRule="atLeast"/>
              <w:jc w:val="left"/>
              <w:rPr>
                <w:rFonts w:cs="Times New Roman"/>
                <w:szCs w:val="20"/>
              </w:rPr>
            </w:pPr>
            <w:r w:rsidRPr="001D2EF5">
              <w:rPr>
                <w:rFonts w:cs="Times New Roman"/>
                <w:szCs w:val="20"/>
              </w:rPr>
              <w:t>Red / Poor</w:t>
            </w:r>
          </w:p>
        </w:tc>
        <w:tc>
          <w:tcPr>
            <w:tcW w:w="1371"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&gt;30%</w:t>
            </w:r>
          </w:p>
        </w:tc>
        <w:tc>
          <w:tcPr>
            <w:tcW w:w="1419"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&gt;50%</w:t>
            </w:r>
          </w:p>
        </w:tc>
        <w:tc>
          <w:tcPr>
            <w:tcW w:w="1344" w:type="dxa"/>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&gt;260</w:t>
            </w:r>
          </w:p>
        </w:tc>
        <w:tc>
          <w:tcPr>
            <w:tcW w:w="4069" w:type="dxa"/>
            <w:tcBorders>
              <w:right w:val="nil"/>
            </w:tcBorders>
          </w:tcPr>
          <w:p w:rsidR="00F93B31" w:rsidRPr="001D2EF5" w:rsidRDefault="00F93B31"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szCs w:val="20"/>
              </w:rPr>
              <w:t>For more than 30% of the time the estimated risk is ≥50 in 1000 (&gt;5% risk)</w:t>
            </w:r>
          </w:p>
          <w:p w:rsidR="00F93B31" w:rsidRPr="001D2EF5" w:rsidRDefault="0073250A" w:rsidP="008E331F">
            <w:pPr>
              <w:pStyle w:val="TableText"/>
              <w:spacing w:line="240" w:lineRule="atLeast"/>
              <w:jc w:val="left"/>
              <w:cnfStyle w:val="000000000000" w:firstRow="0" w:lastRow="0" w:firstColumn="0" w:lastColumn="0" w:oddVBand="0" w:evenVBand="0" w:oddHBand="0" w:evenHBand="0" w:firstRowFirstColumn="0" w:firstRowLastColumn="0" w:lastRowFirstColumn="0" w:lastRowLastColumn="0"/>
              <w:rPr>
                <w:rFonts w:cs="Times New Roman"/>
                <w:szCs w:val="20"/>
              </w:rPr>
            </w:pPr>
            <w:r w:rsidRPr="001D2EF5">
              <w:rPr>
                <w:rFonts w:cs="Times New Roman"/>
                <w:b/>
                <w:szCs w:val="20"/>
              </w:rPr>
              <w:t>Overall risk across all time is &gt;12%</w:t>
            </w:r>
          </w:p>
        </w:tc>
      </w:tr>
    </w:tbl>
    <w:p w:rsidR="00F86ADF" w:rsidRDefault="00AF7313" w:rsidP="008A688D">
      <w:pPr>
        <w:pStyle w:val="Tableheading0"/>
        <w:ind w:left="993" w:hanging="993"/>
      </w:pPr>
      <w:bookmarkStart w:id="41" w:name="_Toc479073472"/>
      <w:r>
        <w:t xml:space="preserve">Table </w:t>
      </w:r>
      <w:r w:rsidR="00E411CB">
        <w:t>5</w:t>
      </w:r>
      <w:r w:rsidR="008A688D">
        <w:t>:</w:t>
      </w:r>
      <w:r w:rsidR="008A688D">
        <w:tab/>
      </w:r>
      <w:r>
        <w:t>Average risk from each swimming category</w:t>
      </w:r>
    </w:p>
    <w:tbl>
      <w:tblPr>
        <w:tblStyle w:val="TableGrid"/>
        <w:tblW w:w="9151" w:type="dxa"/>
        <w:tblBorders>
          <w:top w:val="single" w:sz="4" w:space="0" w:color="C6DDE5"/>
          <w:left w:val="single" w:sz="4" w:space="0" w:color="C6DDE5"/>
          <w:bottom w:val="single" w:sz="4" w:space="0" w:color="C6DDE5"/>
          <w:right w:val="single" w:sz="4" w:space="0" w:color="C6DDE5"/>
          <w:insideH w:val="single" w:sz="4" w:space="0" w:color="C6DDE5"/>
          <w:insideV w:val="single" w:sz="4" w:space="0" w:color="C6DDE5"/>
        </w:tblBorders>
        <w:tblLook w:val="04A0" w:firstRow="1" w:lastRow="0" w:firstColumn="1" w:lastColumn="0" w:noHBand="0" w:noVBand="1"/>
      </w:tblPr>
      <w:tblGrid>
        <w:gridCol w:w="1219"/>
        <w:gridCol w:w="1983"/>
        <w:gridCol w:w="1983"/>
        <w:gridCol w:w="1983"/>
        <w:gridCol w:w="1983"/>
      </w:tblGrid>
      <w:tr w:rsidR="00041924" w:rsidRPr="008E331F" w:rsidTr="00041924">
        <w:trPr>
          <w:trHeight w:val="1088"/>
        </w:trPr>
        <w:tc>
          <w:tcPr>
            <w:tcW w:w="1219" w:type="dxa"/>
            <w:tcBorders>
              <w:top w:val="single" w:sz="4" w:space="0" w:color="1C556C"/>
              <w:left w:val="nil"/>
              <w:bottom w:val="single" w:sz="4" w:space="0" w:color="1C556C"/>
              <w:right w:val="single" w:sz="4" w:space="0" w:color="1C556C"/>
            </w:tcBorders>
            <w:shd w:val="clear" w:color="auto" w:fill="1C556C"/>
          </w:tcPr>
          <w:p w:rsidR="004D46FA" w:rsidRPr="008E331F" w:rsidRDefault="004D46FA" w:rsidP="008E331F">
            <w:pPr>
              <w:pStyle w:val="TableTextbold"/>
              <w:rPr>
                <w:rFonts w:cs="Times New Roman"/>
                <w:color w:val="FFFFFF" w:themeColor="background1"/>
                <w:szCs w:val="20"/>
              </w:rPr>
            </w:pPr>
            <w:r w:rsidRPr="008E331F">
              <w:rPr>
                <w:rFonts w:cs="Times New Roman"/>
                <w:color w:val="FFFFFF" w:themeColor="background1"/>
                <w:szCs w:val="20"/>
              </w:rPr>
              <w:t>Category</w:t>
            </w:r>
          </w:p>
        </w:tc>
        <w:tc>
          <w:tcPr>
            <w:tcW w:w="1983" w:type="dxa"/>
            <w:tcBorders>
              <w:top w:val="single" w:sz="4" w:space="0" w:color="1C556C"/>
              <w:left w:val="single" w:sz="4" w:space="0" w:color="1C556C"/>
              <w:bottom w:val="single" w:sz="4" w:space="0" w:color="1C556C"/>
              <w:right w:val="single" w:sz="4" w:space="0" w:color="1C556C"/>
            </w:tcBorders>
            <w:shd w:val="clear" w:color="auto" w:fill="1C556C"/>
          </w:tcPr>
          <w:p w:rsidR="004D46FA" w:rsidRPr="008E331F" w:rsidRDefault="004D46FA" w:rsidP="00D462DD">
            <w:pPr>
              <w:pStyle w:val="TableTextbold"/>
              <w:rPr>
                <w:rFonts w:cs="Times New Roman"/>
                <w:color w:val="FFFFFF" w:themeColor="background1"/>
                <w:szCs w:val="20"/>
              </w:rPr>
            </w:pPr>
            <w:r>
              <w:rPr>
                <w:rFonts w:cs="Times New Roman"/>
                <w:color w:val="FFFFFF" w:themeColor="background1"/>
                <w:szCs w:val="20"/>
              </w:rPr>
              <w:t>A</w:t>
            </w:r>
            <w:r w:rsidR="00D462DD">
              <w:rPr>
                <w:rFonts w:cs="Times New Roman"/>
                <w:color w:val="FFFFFF" w:themeColor="background1"/>
                <w:szCs w:val="20"/>
              </w:rPr>
              <w:t>verage</w:t>
            </w:r>
            <w:r>
              <w:rPr>
                <w:rFonts w:cs="Times New Roman"/>
                <w:color w:val="FFFFFF" w:themeColor="background1"/>
                <w:szCs w:val="20"/>
              </w:rPr>
              <w:t xml:space="preserve"> </w:t>
            </w:r>
            <w:r w:rsidR="00D462DD">
              <w:rPr>
                <w:rFonts w:cs="Times New Roman"/>
                <w:color w:val="FFFFFF" w:themeColor="background1"/>
                <w:szCs w:val="20"/>
              </w:rPr>
              <w:t>t</w:t>
            </w:r>
            <w:r>
              <w:rPr>
                <w:rFonts w:cs="Times New Roman"/>
                <w:color w:val="FFFFFF" w:themeColor="background1"/>
                <w:szCs w:val="20"/>
              </w:rPr>
              <w:t>heoretical</w:t>
            </w:r>
            <w:r w:rsidRPr="008E331F">
              <w:rPr>
                <w:rFonts w:cs="Times New Roman"/>
                <w:color w:val="FFFFFF" w:themeColor="background1"/>
                <w:szCs w:val="20"/>
              </w:rPr>
              <w:t xml:space="preserve"> risk across all time (</w:t>
            </w:r>
            <w:r>
              <w:rPr>
                <w:rFonts w:cs="Times New Roman"/>
                <w:color w:val="FFFFFF" w:themeColor="background1"/>
                <w:szCs w:val="20"/>
              </w:rPr>
              <w:t>assessed by Massey University</w:t>
            </w:r>
            <w:r w:rsidRPr="008E331F">
              <w:rPr>
                <w:rFonts w:cs="Times New Roman"/>
                <w:color w:val="FFFFFF" w:themeColor="background1"/>
                <w:szCs w:val="20"/>
              </w:rPr>
              <w:t>)</w:t>
            </w:r>
            <w:r w:rsidRPr="00E05534">
              <w:rPr>
                <w:rFonts w:cs="Times New Roman"/>
                <w:color w:val="FFFFFF" w:themeColor="background1"/>
                <w:szCs w:val="20"/>
                <w:vertAlign w:val="superscript"/>
              </w:rPr>
              <w:footnoteReference w:id="1"/>
            </w:r>
          </w:p>
        </w:tc>
        <w:tc>
          <w:tcPr>
            <w:tcW w:w="1983" w:type="dxa"/>
            <w:tcBorders>
              <w:top w:val="single" w:sz="4" w:space="0" w:color="1C556C"/>
              <w:left w:val="single" w:sz="4" w:space="0" w:color="1C556C"/>
              <w:bottom w:val="single" w:sz="4" w:space="0" w:color="1C556C"/>
              <w:right w:val="single" w:sz="4" w:space="0" w:color="1C556C"/>
            </w:tcBorders>
            <w:shd w:val="clear" w:color="auto" w:fill="1C556C"/>
          </w:tcPr>
          <w:p w:rsidR="004D46FA" w:rsidRPr="008E331F" w:rsidRDefault="00D462DD" w:rsidP="00350497">
            <w:pPr>
              <w:pStyle w:val="TableTextbold"/>
              <w:rPr>
                <w:rFonts w:cs="Times New Roman"/>
                <w:color w:val="FFFFFF" w:themeColor="background1"/>
                <w:szCs w:val="20"/>
              </w:rPr>
            </w:pPr>
            <w:r>
              <w:rPr>
                <w:rFonts w:cs="Times New Roman"/>
                <w:color w:val="FFFFFF" w:themeColor="background1"/>
                <w:szCs w:val="20"/>
              </w:rPr>
              <w:t>Average t</w:t>
            </w:r>
            <w:r w:rsidR="004D46FA">
              <w:rPr>
                <w:rFonts w:cs="Times New Roman"/>
                <w:color w:val="FFFFFF" w:themeColor="background1"/>
                <w:szCs w:val="20"/>
              </w:rPr>
              <w:t>heoretical</w:t>
            </w:r>
            <w:r w:rsidR="004D46FA" w:rsidRPr="008E331F">
              <w:rPr>
                <w:rFonts w:cs="Times New Roman"/>
                <w:color w:val="FFFFFF" w:themeColor="background1"/>
                <w:szCs w:val="20"/>
              </w:rPr>
              <w:t xml:space="preserve"> risk across all time (</w:t>
            </w:r>
            <w:r w:rsidR="004D46FA">
              <w:rPr>
                <w:rFonts w:cs="Times New Roman"/>
                <w:color w:val="FFFFFF" w:themeColor="background1"/>
                <w:szCs w:val="20"/>
              </w:rPr>
              <w:t>assessed by</w:t>
            </w:r>
            <w:r w:rsidR="004D46FA" w:rsidRPr="008E331F">
              <w:rPr>
                <w:rFonts w:cs="Times New Roman"/>
                <w:color w:val="FFFFFF" w:themeColor="background1"/>
                <w:szCs w:val="20"/>
              </w:rPr>
              <w:t xml:space="preserve"> NIWA)</w:t>
            </w:r>
            <w:r w:rsidR="004D46FA" w:rsidRPr="00E05534">
              <w:rPr>
                <w:rFonts w:cs="Times New Roman"/>
                <w:color w:val="FFFFFF" w:themeColor="background1"/>
                <w:szCs w:val="20"/>
                <w:vertAlign w:val="superscript"/>
              </w:rPr>
              <w:footnoteReference w:id="2"/>
            </w:r>
          </w:p>
        </w:tc>
        <w:tc>
          <w:tcPr>
            <w:tcW w:w="1983" w:type="dxa"/>
            <w:tcBorders>
              <w:top w:val="single" w:sz="4" w:space="0" w:color="1C556C"/>
              <w:left w:val="single" w:sz="4" w:space="0" w:color="1C556C"/>
              <w:bottom w:val="single" w:sz="4" w:space="0" w:color="1C556C"/>
              <w:right w:val="nil"/>
            </w:tcBorders>
            <w:shd w:val="clear" w:color="auto" w:fill="1C556C"/>
          </w:tcPr>
          <w:p w:rsidR="004D46FA" w:rsidRPr="008E331F" w:rsidRDefault="004D46FA" w:rsidP="008E331F">
            <w:pPr>
              <w:pStyle w:val="TableTextbold"/>
              <w:rPr>
                <w:rFonts w:cs="Times New Roman"/>
                <w:color w:val="FFFFFF" w:themeColor="background1"/>
                <w:szCs w:val="20"/>
              </w:rPr>
            </w:pPr>
            <w:r w:rsidRPr="008E331F">
              <w:rPr>
                <w:rFonts w:cs="Times New Roman"/>
                <w:color w:val="FFFFFF" w:themeColor="background1"/>
                <w:szCs w:val="20"/>
              </w:rPr>
              <w:t>Average risk per exposure at monitored sites</w:t>
            </w:r>
            <w:r w:rsidRPr="00E05534">
              <w:rPr>
                <w:rFonts w:cs="Times New Roman"/>
                <w:color w:val="FFFFFF" w:themeColor="background1"/>
                <w:szCs w:val="20"/>
                <w:vertAlign w:val="superscript"/>
              </w:rPr>
              <w:footnoteReference w:id="3"/>
            </w:r>
          </w:p>
        </w:tc>
        <w:tc>
          <w:tcPr>
            <w:tcW w:w="1983" w:type="dxa"/>
            <w:tcBorders>
              <w:top w:val="single" w:sz="4" w:space="0" w:color="1C556C"/>
              <w:left w:val="single" w:sz="4" w:space="0" w:color="1C556C"/>
              <w:bottom w:val="single" w:sz="4" w:space="0" w:color="1C556C"/>
              <w:right w:val="nil"/>
            </w:tcBorders>
            <w:shd w:val="clear" w:color="auto" w:fill="1C556C"/>
          </w:tcPr>
          <w:p w:rsidR="004D46FA" w:rsidRPr="008E331F" w:rsidRDefault="004D46FA" w:rsidP="008E331F">
            <w:pPr>
              <w:pStyle w:val="TableTextbold"/>
              <w:rPr>
                <w:rFonts w:cs="Times New Roman"/>
                <w:color w:val="FFFFFF" w:themeColor="background1"/>
                <w:szCs w:val="20"/>
              </w:rPr>
            </w:pPr>
            <w:r>
              <w:rPr>
                <w:rFonts w:cs="Times New Roman"/>
                <w:color w:val="FFFFFF" w:themeColor="background1"/>
                <w:szCs w:val="20"/>
              </w:rPr>
              <w:t>Average risk during normal flows</w:t>
            </w:r>
            <w:r>
              <w:rPr>
                <w:rStyle w:val="FootnoteReference"/>
                <w:rFonts w:cs="Times New Roman"/>
                <w:color w:val="FFFFFF" w:themeColor="background1"/>
                <w:szCs w:val="20"/>
              </w:rPr>
              <w:footnoteReference w:id="4"/>
            </w:r>
          </w:p>
        </w:tc>
      </w:tr>
      <w:tr w:rsidR="00041924" w:rsidRPr="001D2EF5" w:rsidTr="00041924">
        <w:trPr>
          <w:trHeight w:val="396"/>
        </w:trPr>
        <w:tc>
          <w:tcPr>
            <w:tcW w:w="1219" w:type="dxa"/>
            <w:tcBorders>
              <w:top w:val="single" w:sz="4" w:space="0" w:color="1C556C"/>
              <w:left w:val="nil"/>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Excellent</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0.9%</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1.0%</w:t>
            </w:r>
          </w:p>
        </w:tc>
        <w:tc>
          <w:tcPr>
            <w:tcW w:w="1983" w:type="dxa"/>
            <w:tcBorders>
              <w:top w:val="single" w:sz="4" w:space="0" w:color="1C556C"/>
              <w:left w:val="single" w:sz="4" w:space="0" w:color="1C556C"/>
              <w:bottom w:val="single" w:sz="4" w:space="0" w:color="1C556C"/>
              <w:right w:val="nil"/>
            </w:tcBorders>
            <w:shd w:val="clear" w:color="auto" w:fill="FFFFFF" w:themeFill="background1"/>
            <w:vAlign w:val="center"/>
          </w:tcPr>
          <w:p w:rsidR="004D46FA" w:rsidRPr="001D2EF5" w:rsidRDefault="004D46FA" w:rsidP="001D2EF5">
            <w:pPr>
              <w:pStyle w:val="TableText"/>
            </w:pPr>
            <w:r w:rsidRPr="001D2EF5">
              <w:t>0.4%</w:t>
            </w:r>
          </w:p>
        </w:tc>
        <w:tc>
          <w:tcPr>
            <w:tcW w:w="1983" w:type="dxa"/>
            <w:tcBorders>
              <w:top w:val="single" w:sz="4" w:space="0" w:color="1C556C"/>
              <w:left w:val="single" w:sz="4" w:space="0" w:color="1C556C"/>
              <w:bottom w:val="single" w:sz="4" w:space="0" w:color="1C556C"/>
              <w:right w:val="nil"/>
            </w:tcBorders>
            <w:shd w:val="clear" w:color="auto" w:fill="FFFFFF" w:themeFill="background1"/>
          </w:tcPr>
          <w:p w:rsidR="004D46FA" w:rsidRPr="001D2EF5" w:rsidRDefault="00D462DD" w:rsidP="001D2EF5">
            <w:pPr>
              <w:pStyle w:val="TableText"/>
            </w:pPr>
            <w:r>
              <w:t>0.3%</w:t>
            </w:r>
          </w:p>
        </w:tc>
      </w:tr>
      <w:tr w:rsidR="00041924" w:rsidRPr="001D2EF5" w:rsidTr="00041924">
        <w:trPr>
          <w:trHeight w:val="407"/>
        </w:trPr>
        <w:tc>
          <w:tcPr>
            <w:tcW w:w="1219" w:type="dxa"/>
            <w:tcBorders>
              <w:top w:val="single" w:sz="4" w:space="0" w:color="1C556C"/>
              <w:left w:val="nil"/>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Good</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1.9%</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pPr>
              <w:pStyle w:val="TableText"/>
            </w:pPr>
            <w:r w:rsidRPr="001D2EF5">
              <w:t>2.</w:t>
            </w:r>
            <w:r w:rsidR="000D4F8B">
              <w:t>4</w:t>
            </w:r>
            <w:r w:rsidRPr="001D2EF5">
              <w:t>%</w:t>
            </w:r>
          </w:p>
        </w:tc>
        <w:tc>
          <w:tcPr>
            <w:tcW w:w="1983" w:type="dxa"/>
            <w:tcBorders>
              <w:top w:val="single" w:sz="4" w:space="0" w:color="1C556C"/>
              <w:left w:val="single" w:sz="4" w:space="0" w:color="1C556C"/>
              <w:bottom w:val="single" w:sz="4" w:space="0" w:color="1C556C"/>
              <w:right w:val="nil"/>
            </w:tcBorders>
            <w:shd w:val="clear" w:color="auto" w:fill="FFFFFF" w:themeFill="background1"/>
            <w:vAlign w:val="center"/>
          </w:tcPr>
          <w:p w:rsidR="004D46FA" w:rsidRPr="001D2EF5" w:rsidRDefault="004D46FA" w:rsidP="001D2EF5">
            <w:pPr>
              <w:pStyle w:val="TableText"/>
            </w:pPr>
            <w:r w:rsidRPr="001D2EF5">
              <w:t>1.7%</w:t>
            </w:r>
          </w:p>
        </w:tc>
        <w:tc>
          <w:tcPr>
            <w:tcW w:w="1983" w:type="dxa"/>
            <w:tcBorders>
              <w:top w:val="single" w:sz="4" w:space="0" w:color="1C556C"/>
              <w:left w:val="single" w:sz="4" w:space="0" w:color="1C556C"/>
              <w:bottom w:val="single" w:sz="4" w:space="0" w:color="1C556C"/>
              <w:right w:val="nil"/>
            </w:tcBorders>
            <w:shd w:val="clear" w:color="auto" w:fill="FFFFFF" w:themeFill="background1"/>
          </w:tcPr>
          <w:p w:rsidR="004D46FA" w:rsidRPr="001D2EF5" w:rsidRDefault="00D462DD" w:rsidP="001D2EF5">
            <w:pPr>
              <w:pStyle w:val="TableText"/>
            </w:pPr>
            <w:r>
              <w:t>1.3%</w:t>
            </w:r>
          </w:p>
        </w:tc>
      </w:tr>
      <w:tr w:rsidR="00041924" w:rsidRPr="001D2EF5" w:rsidTr="00041924">
        <w:trPr>
          <w:trHeight w:val="396"/>
        </w:trPr>
        <w:tc>
          <w:tcPr>
            <w:tcW w:w="1219" w:type="dxa"/>
            <w:tcBorders>
              <w:top w:val="single" w:sz="4" w:space="0" w:color="1C556C"/>
              <w:left w:val="nil"/>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Fair</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3.1%</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3.1%</w:t>
            </w:r>
          </w:p>
        </w:tc>
        <w:tc>
          <w:tcPr>
            <w:tcW w:w="1983" w:type="dxa"/>
            <w:tcBorders>
              <w:top w:val="single" w:sz="4" w:space="0" w:color="1C556C"/>
              <w:left w:val="single" w:sz="4" w:space="0" w:color="1C556C"/>
              <w:bottom w:val="single" w:sz="4" w:space="0" w:color="1C556C"/>
              <w:right w:val="nil"/>
            </w:tcBorders>
            <w:shd w:val="clear" w:color="auto" w:fill="FFFFFF" w:themeFill="background1"/>
            <w:vAlign w:val="center"/>
          </w:tcPr>
          <w:p w:rsidR="004D46FA" w:rsidRPr="001D2EF5" w:rsidRDefault="004D46FA" w:rsidP="001D2EF5">
            <w:pPr>
              <w:pStyle w:val="TableText"/>
            </w:pPr>
            <w:r w:rsidRPr="001D2EF5">
              <w:t>2.6%</w:t>
            </w:r>
          </w:p>
        </w:tc>
        <w:tc>
          <w:tcPr>
            <w:tcW w:w="1983" w:type="dxa"/>
            <w:tcBorders>
              <w:top w:val="single" w:sz="4" w:space="0" w:color="1C556C"/>
              <w:left w:val="single" w:sz="4" w:space="0" w:color="1C556C"/>
              <w:bottom w:val="single" w:sz="4" w:space="0" w:color="1C556C"/>
              <w:right w:val="nil"/>
            </w:tcBorders>
            <w:shd w:val="clear" w:color="auto" w:fill="FFFFFF" w:themeFill="background1"/>
          </w:tcPr>
          <w:p w:rsidR="004D46FA" w:rsidRPr="001D2EF5" w:rsidRDefault="00D462DD" w:rsidP="001D2EF5">
            <w:pPr>
              <w:pStyle w:val="TableText"/>
            </w:pPr>
            <w:r>
              <w:t>2.0%</w:t>
            </w:r>
          </w:p>
        </w:tc>
      </w:tr>
      <w:tr w:rsidR="00041924" w:rsidRPr="001D2EF5" w:rsidTr="00041924">
        <w:trPr>
          <w:trHeight w:val="407"/>
        </w:trPr>
        <w:tc>
          <w:tcPr>
            <w:tcW w:w="1219" w:type="dxa"/>
            <w:tcBorders>
              <w:top w:val="single" w:sz="4" w:space="0" w:color="1C556C"/>
              <w:left w:val="nil"/>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Intermittent</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More than 8.0%</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F42BE0" w:rsidP="001D2EF5">
            <w:pPr>
              <w:pStyle w:val="TableText"/>
            </w:pPr>
            <w:r>
              <w:t>More than 3.1%</w:t>
            </w:r>
          </w:p>
        </w:tc>
        <w:tc>
          <w:tcPr>
            <w:tcW w:w="1983" w:type="dxa"/>
            <w:tcBorders>
              <w:top w:val="single" w:sz="4" w:space="0" w:color="1C556C"/>
              <w:left w:val="single" w:sz="4" w:space="0" w:color="1C556C"/>
              <w:bottom w:val="single" w:sz="4" w:space="0" w:color="1C556C"/>
              <w:right w:val="nil"/>
            </w:tcBorders>
            <w:shd w:val="clear" w:color="auto" w:fill="FFFFFF" w:themeFill="background1"/>
            <w:vAlign w:val="center"/>
          </w:tcPr>
          <w:p w:rsidR="004D46FA" w:rsidRPr="001D2EF5" w:rsidRDefault="004D46FA" w:rsidP="001D2EF5">
            <w:pPr>
              <w:pStyle w:val="TableText"/>
            </w:pPr>
            <w:r w:rsidRPr="001D2EF5">
              <w:t>More than 6.8%</w:t>
            </w:r>
          </w:p>
        </w:tc>
        <w:tc>
          <w:tcPr>
            <w:tcW w:w="1983" w:type="dxa"/>
            <w:tcBorders>
              <w:top w:val="single" w:sz="4" w:space="0" w:color="1C556C"/>
              <w:left w:val="single" w:sz="4" w:space="0" w:color="1C556C"/>
              <w:bottom w:val="single" w:sz="4" w:space="0" w:color="1C556C"/>
              <w:right w:val="nil"/>
            </w:tcBorders>
            <w:shd w:val="clear" w:color="auto" w:fill="FFFFFF" w:themeFill="background1"/>
          </w:tcPr>
          <w:p w:rsidR="004D46FA" w:rsidRPr="001D2EF5" w:rsidRDefault="00D462DD" w:rsidP="001D2EF5">
            <w:pPr>
              <w:pStyle w:val="TableText"/>
            </w:pPr>
            <w:r>
              <w:t>More than 5.4%</w:t>
            </w:r>
          </w:p>
        </w:tc>
      </w:tr>
      <w:tr w:rsidR="00041924" w:rsidRPr="001D2EF5" w:rsidTr="00041924">
        <w:trPr>
          <w:trHeight w:val="418"/>
        </w:trPr>
        <w:tc>
          <w:tcPr>
            <w:tcW w:w="1219" w:type="dxa"/>
            <w:tcBorders>
              <w:top w:val="single" w:sz="4" w:space="0" w:color="1C556C"/>
              <w:left w:val="nil"/>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Poor</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1D2EF5" w:rsidRDefault="004D46FA" w:rsidP="001D2EF5">
            <w:pPr>
              <w:pStyle w:val="TableText"/>
            </w:pPr>
            <w:r w:rsidRPr="001D2EF5">
              <w:t>More than 15.0%</w:t>
            </w:r>
          </w:p>
        </w:tc>
        <w:tc>
          <w:tcPr>
            <w:tcW w:w="1983" w:type="dxa"/>
            <w:tcBorders>
              <w:top w:val="single" w:sz="4" w:space="0" w:color="1C556C"/>
              <w:left w:val="single" w:sz="4" w:space="0" w:color="1C556C"/>
              <w:bottom w:val="single" w:sz="4" w:space="0" w:color="1C556C"/>
              <w:right w:val="single" w:sz="4" w:space="0" w:color="1C556C"/>
            </w:tcBorders>
            <w:shd w:val="clear" w:color="auto" w:fill="FFFFFF" w:themeFill="background1"/>
            <w:vAlign w:val="center"/>
          </w:tcPr>
          <w:p w:rsidR="004D46FA" w:rsidRPr="004927F8" w:rsidRDefault="006C6861" w:rsidP="001D2EF5">
            <w:pPr>
              <w:pStyle w:val="TableText"/>
            </w:pPr>
            <w:r>
              <w:t>More than 3.1%</w:t>
            </w:r>
          </w:p>
        </w:tc>
        <w:tc>
          <w:tcPr>
            <w:tcW w:w="1983" w:type="dxa"/>
            <w:tcBorders>
              <w:top w:val="single" w:sz="4" w:space="0" w:color="1C556C"/>
              <w:left w:val="single" w:sz="4" w:space="0" w:color="1C556C"/>
              <w:bottom w:val="single" w:sz="4" w:space="0" w:color="1C556C"/>
              <w:right w:val="nil"/>
            </w:tcBorders>
            <w:shd w:val="clear" w:color="auto" w:fill="FFFFFF" w:themeFill="background1"/>
            <w:vAlign w:val="center"/>
          </w:tcPr>
          <w:p w:rsidR="004D46FA" w:rsidRPr="001D2EF5" w:rsidRDefault="004D46FA" w:rsidP="001D2EF5">
            <w:pPr>
              <w:pStyle w:val="TableText"/>
            </w:pPr>
            <w:r w:rsidRPr="001D2EF5">
              <w:t>More than 11.7%</w:t>
            </w:r>
          </w:p>
        </w:tc>
        <w:tc>
          <w:tcPr>
            <w:tcW w:w="1983" w:type="dxa"/>
            <w:tcBorders>
              <w:top w:val="single" w:sz="4" w:space="0" w:color="1C556C"/>
              <w:left w:val="single" w:sz="4" w:space="0" w:color="1C556C"/>
              <w:bottom w:val="single" w:sz="4" w:space="0" w:color="1C556C"/>
              <w:right w:val="nil"/>
            </w:tcBorders>
            <w:shd w:val="clear" w:color="auto" w:fill="FFFFFF" w:themeFill="background1"/>
          </w:tcPr>
          <w:p w:rsidR="004D46FA" w:rsidRPr="001D2EF5" w:rsidRDefault="00D462DD" w:rsidP="001D2EF5">
            <w:pPr>
              <w:pStyle w:val="TableText"/>
            </w:pPr>
            <w:r>
              <w:t>More than 10.6%</w:t>
            </w:r>
          </w:p>
        </w:tc>
      </w:tr>
    </w:tbl>
    <w:p w:rsidR="00784DDF" w:rsidRPr="008B6E76" w:rsidRDefault="00897498" w:rsidP="00B13A6D">
      <w:pPr>
        <w:pStyle w:val="BodyText"/>
      </w:pPr>
      <w:r>
        <w:lastRenderedPageBreak/>
        <w:t>The</w:t>
      </w:r>
      <w:r w:rsidR="00AD2414">
        <w:t xml:space="preserve"> statistical</w:t>
      </w:r>
      <w:r>
        <w:t xml:space="preserve"> </w:t>
      </w:r>
      <w:r w:rsidR="00AD2414">
        <w:t xml:space="preserve">methods used </w:t>
      </w:r>
      <w:r w:rsidR="00B87B26">
        <w:t xml:space="preserve">to </w:t>
      </w:r>
      <w:r w:rsidR="00AD2414">
        <w:t>assess</w:t>
      </w:r>
      <w:r w:rsidR="00D462DD">
        <w:t xml:space="preserve"> </w:t>
      </w:r>
      <w:r w:rsidR="00244B85">
        <w:t>theoretical</w:t>
      </w:r>
      <w:r w:rsidR="00AD2414">
        <w:t xml:space="preserve"> risk can vary, and the results can differ </w:t>
      </w:r>
      <w:r w:rsidR="00B30076">
        <w:t xml:space="preserve">slightly </w:t>
      </w:r>
      <w:r w:rsidR="00AD2414">
        <w:t>depending on the method</w:t>
      </w:r>
      <w:r w:rsidR="00244B85">
        <w:t>ologies used</w:t>
      </w:r>
      <w:r w:rsidR="00AD2414">
        <w:t>. Table 5 shows t</w:t>
      </w:r>
      <w:r w:rsidR="00DC7E3A">
        <w:t>hree</w:t>
      </w:r>
      <w:r w:rsidR="00AD2414">
        <w:t xml:space="preserve"> assessments of </w:t>
      </w:r>
      <w:r w:rsidR="008D1F8D">
        <w:t xml:space="preserve">the </w:t>
      </w:r>
      <w:r w:rsidR="00AD2414">
        <w:t>average risk</w:t>
      </w:r>
      <w:r w:rsidR="008D1F8D">
        <w:t xml:space="preserve"> for each category (two are theoretical and </w:t>
      </w:r>
      <w:r w:rsidR="0077350C">
        <w:t>two are</w:t>
      </w:r>
      <w:r w:rsidR="008D1F8D">
        <w:t xml:space="preserve"> based on monitored sites)</w:t>
      </w:r>
      <w:r w:rsidR="00E05534">
        <w:t>.</w:t>
      </w:r>
      <w:r w:rsidR="008E25AA">
        <w:t xml:space="preserve"> The reason the theoretical risk is higher than the </w:t>
      </w:r>
      <w:r w:rsidR="006C6861">
        <w:t>monitored</w:t>
      </w:r>
      <w:r w:rsidR="008E25AA">
        <w:t xml:space="preserve"> risk is because a natural river is very unlikely to have a distribution of </w:t>
      </w:r>
      <w:r w:rsidR="00E82B1B">
        <w:br/>
      </w:r>
      <w:r w:rsidR="008E25AA">
        <w:rPr>
          <w:i/>
        </w:rPr>
        <w:t>E. coli</w:t>
      </w:r>
      <w:r w:rsidR="008E25AA">
        <w:t xml:space="preserve"> exceedances at the maximum predicted level (ie, having every possible reading for every possible day </w:t>
      </w:r>
      <w:r w:rsidR="006C6861">
        <w:t>at</w:t>
      </w:r>
      <w:r w:rsidR="008E25AA">
        <w:t xml:space="preserve"> the threshold). The risk is also lower if people exercise the category advice of not swimming during high flows.</w:t>
      </w:r>
    </w:p>
    <w:p w:rsidR="001D0C18" w:rsidRDefault="00447BF0" w:rsidP="00262001">
      <w:pPr>
        <w:pStyle w:val="Heading2"/>
      </w:pPr>
      <w:bookmarkStart w:id="42" w:name="_Toc482112355"/>
      <w:r>
        <w:t>Other risk</w:t>
      </w:r>
      <w:bookmarkEnd w:id="41"/>
      <w:bookmarkEnd w:id="42"/>
    </w:p>
    <w:p w:rsidR="00F10C8C" w:rsidRDefault="009777CC" w:rsidP="00F10C8C">
      <w:pPr>
        <w:pStyle w:val="BodyText"/>
      </w:pPr>
      <w:r>
        <w:t xml:space="preserve">Although microbial infection is used as a proxy to describe ‘swimmability’, infection from microbial pathogens is just one of several factors that influence risk when swimming. </w:t>
      </w:r>
    </w:p>
    <w:p w:rsidR="00F10C8C" w:rsidRPr="0030008A" w:rsidRDefault="009126EB" w:rsidP="00F10C8C">
      <w:pPr>
        <w:pStyle w:val="BodyText"/>
      </w:pPr>
      <w:r>
        <w:t>Toxins are also an important safety consideration. In particular cyanobacteria (otherwise known as blue-green algae or t</w:t>
      </w:r>
      <w:r w:rsidR="00625F66">
        <w:t xml:space="preserve">oxic algae) has the ability to cause illness. The swimming maps on the Ministry for the Environment’s website contain flags on </w:t>
      </w:r>
      <w:r w:rsidR="0030008A">
        <w:t>r</w:t>
      </w:r>
      <w:bookmarkStart w:id="43" w:name="_GoBack"/>
      <w:r w:rsidR="0030008A">
        <w:t>i</w:t>
      </w:r>
      <w:bookmarkEnd w:id="43"/>
      <w:r w:rsidR="0030008A">
        <w:t xml:space="preserve">ver </w:t>
      </w:r>
      <w:r w:rsidR="00625F66">
        <w:t xml:space="preserve">sites where cyanobacteria has been observed, and councils report the presence of cyanobacteria on </w:t>
      </w:r>
      <w:r w:rsidR="00B87B26">
        <w:t xml:space="preserve">the </w:t>
      </w:r>
      <w:r w:rsidR="00625F66">
        <w:t xml:space="preserve">LAWA </w:t>
      </w:r>
      <w:r w:rsidR="00B87B26">
        <w:t xml:space="preserve">website </w:t>
      </w:r>
      <w:r w:rsidR="00625F66">
        <w:t>and on their own council website.</w:t>
      </w:r>
      <w:r w:rsidR="00A63F78">
        <w:t xml:space="preserve"> </w:t>
      </w:r>
      <w:r w:rsidR="0030008A">
        <w:t xml:space="preserve">Lakes on the swimming maps are graded based on toxic algae, and contain flags where high </w:t>
      </w:r>
      <w:r w:rsidR="0030008A">
        <w:rPr>
          <w:i/>
        </w:rPr>
        <w:t>E. coli</w:t>
      </w:r>
      <w:r w:rsidR="0030008A">
        <w:t xml:space="preserve"> levels have been observed.</w:t>
      </w:r>
    </w:p>
    <w:p w:rsidR="000661E2" w:rsidRDefault="00F10C8C">
      <w:pPr>
        <w:spacing w:before="0" w:after="0" w:line="240" w:lineRule="auto"/>
        <w:jc w:val="left"/>
      </w:pPr>
      <w:r>
        <w:t>In addition</w:t>
      </w:r>
      <w:r w:rsidR="00B87B26">
        <w:t>,</w:t>
      </w:r>
      <w:r>
        <w:t xml:space="preserve"> there are safety considerations such as </w:t>
      </w:r>
      <w:r w:rsidRPr="00082609">
        <w:t xml:space="preserve">depth, temperature, </w:t>
      </w:r>
      <w:r>
        <w:t xml:space="preserve">the strength of the </w:t>
      </w:r>
      <w:r w:rsidRPr="00082609">
        <w:t xml:space="preserve">current, </w:t>
      </w:r>
      <w:r>
        <w:t>clarity of the water</w:t>
      </w:r>
      <w:r w:rsidRPr="00082609">
        <w:t xml:space="preserve">, </w:t>
      </w:r>
      <w:r>
        <w:t xml:space="preserve">and the presence of hazardous objects. The </w:t>
      </w:r>
      <w:hyperlink r:id="rId23" w:history="1">
        <w:r w:rsidRPr="000661E2">
          <w:rPr>
            <w:rStyle w:val="Hyperlink"/>
          </w:rPr>
          <w:t>Water Safety New Zealand</w:t>
        </w:r>
      </w:hyperlink>
      <w:r>
        <w:t xml:space="preserve"> website contains more information about staying safe while swimming.</w:t>
      </w:r>
      <w:bookmarkStart w:id="44" w:name="_Ref478653845"/>
    </w:p>
    <w:p w:rsidR="00E20B5E" w:rsidRPr="000661E2" w:rsidRDefault="00E20B5E">
      <w:pPr>
        <w:spacing w:before="0" w:after="0" w:line="240" w:lineRule="auto"/>
        <w:jc w:val="left"/>
      </w:pPr>
      <w:r>
        <w:br w:type="page"/>
      </w:r>
    </w:p>
    <w:p w:rsidR="008003C3" w:rsidRDefault="008003C3" w:rsidP="00262001">
      <w:pPr>
        <w:pStyle w:val="Heading1"/>
      </w:pPr>
      <w:bookmarkStart w:id="45" w:name="_A_comparison_between"/>
      <w:bookmarkStart w:id="46" w:name="_Toc479073473"/>
      <w:bookmarkStart w:id="47" w:name="_Toc482112356"/>
      <w:bookmarkEnd w:id="45"/>
      <w:r>
        <w:lastRenderedPageBreak/>
        <w:t xml:space="preserve">A comparison between the proposed categories and the </w:t>
      </w:r>
      <w:r w:rsidR="001E1238">
        <w:t>existing</w:t>
      </w:r>
      <w:r>
        <w:t xml:space="preserve"> </w:t>
      </w:r>
      <w:bookmarkEnd w:id="44"/>
      <w:bookmarkEnd w:id="46"/>
      <w:r w:rsidR="00FE2E7B">
        <w:t>categories</w:t>
      </w:r>
      <w:bookmarkEnd w:id="47"/>
    </w:p>
    <w:p w:rsidR="006B26F1" w:rsidRDefault="006B26F1" w:rsidP="006B26F1">
      <w:pPr>
        <w:pStyle w:val="BodyText"/>
      </w:pPr>
      <w:r>
        <w:t>The</w:t>
      </w:r>
      <w:r w:rsidR="00B26554">
        <w:t xml:space="preserve"> new proposed swimming categories </w:t>
      </w:r>
      <w:r w:rsidR="007A037C">
        <w:t xml:space="preserve">build on both the 2003 recreational water quality guidelines and the current provisions of the </w:t>
      </w:r>
      <w:r w:rsidR="00543AD5">
        <w:t xml:space="preserve">Freshwater </w:t>
      </w:r>
      <w:r w:rsidR="007A037C">
        <w:t>NPS.</w:t>
      </w:r>
      <w:r w:rsidR="001E1238">
        <w:t xml:space="preserve"> Figure </w:t>
      </w:r>
      <w:r w:rsidR="000B7B78">
        <w:t xml:space="preserve">1 </w:t>
      </w:r>
      <w:r w:rsidR="001E1238">
        <w:t>provides a visual comparison of</w:t>
      </w:r>
      <w:r w:rsidR="00ED09FC">
        <w:t xml:space="preserve"> the numeric thresholds in each; it shows that although the thresholds used are similar, the things that are measured at each threshold (eg, the percentage of time it can be exceeded</w:t>
      </w:r>
      <w:r w:rsidR="000B7B78">
        <w:t xml:space="preserve">) </w:t>
      </w:r>
      <w:r w:rsidR="00BB5D9B">
        <w:t xml:space="preserve">are </w:t>
      </w:r>
      <w:r w:rsidR="000B7B78">
        <w:t>different.</w:t>
      </w:r>
    </w:p>
    <w:p w:rsidR="000B7B78" w:rsidRDefault="008A688D" w:rsidP="008A688D">
      <w:pPr>
        <w:pStyle w:val="Tableheading0"/>
        <w:ind w:left="993" w:hanging="993"/>
      </w:pPr>
      <w:r>
        <w:t>Figure 1:</w:t>
      </w:r>
      <w:r>
        <w:tab/>
      </w:r>
      <w:r w:rsidR="000B7B78">
        <w:t>Comparison of requirements for swimmability</w:t>
      </w:r>
    </w:p>
    <w:p w:rsidR="00FB4BD4" w:rsidRDefault="00501438" w:rsidP="00E20B5E">
      <w:r>
        <w:rPr>
          <w:noProof/>
        </w:rPr>
        <w:drawing>
          <wp:inline distT="0" distB="0" distL="0" distR="0" wp14:anchorId="209EED2F" wp14:editId="0BFDE80A">
            <wp:extent cx="5725707" cy="280035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2113" cy="2803483"/>
                    </a:xfrm>
                    <a:prstGeom prst="rect">
                      <a:avLst/>
                    </a:prstGeom>
                    <a:noFill/>
                  </pic:spPr>
                </pic:pic>
              </a:graphicData>
            </a:graphic>
          </wp:inline>
        </w:drawing>
      </w:r>
    </w:p>
    <w:p w:rsidR="001E1238" w:rsidRDefault="00A966E9" w:rsidP="00BB5D9B">
      <w:pPr>
        <w:jc w:val="left"/>
      </w:pPr>
      <w:r>
        <w:t>The proposals build on the 2003 recreational water quality guidelines by</w:t>
      </w:r>
      <w:r w:rsidR="00184065">
        <w:t xml:space="preserve"> requiring regular monitoring and surveillance during the bathing season. The prop</w:t>
      </w:r>
      <w:r w:rsidR="007E46A6">
        <w:t>o</w:t>
      </w:r>
      <w:r w:rsidR="00184065">
        <w:t>sals</w:t>
      </w:r>
      <w:r>
        <w:t>:</w:t>
      </w:r>
    </w:p>
    <w:p w:rsidR="00A966E9" w:rsidRDefault="00184065" w:rsidP="00267374">
      <w:pPr>
        <w:pStyle w:val="Bullet"/>
        <w:keepLines w:val="0"/>
        <w:numPr>
          <w:ilvl w:val="0"/>
          <w:numId w:val="18"/>
        </w:numPr>
        <w:tabs>
          <w:tab w:val="left" w:pos="397"/>
        </w:tabs>
        <w:spacing w:before="0" w:line="280" w:lineRule="exact"/>
        <w:ind w:left="397" w:hanging="397"/>
        <w:jc w:val="left"/>
      </w:pPr>
      <w:r>
        <w:t>use</w:t>
      </w:r>
      <w:r w:rsidR="00A966E9">
        <w:t xml:space="preserve"> 260 </w:t>
      </w:r>
      <w:r w:rsidR="00CA4FEA" w:rsidRPr="00CA4FEA">
        <w:rPr>
          <w:i/>
        </w:rPr>
        <w:t>E.</w:t>
      </w:r>
      <w:r w:rsidR="00A252B6">
        <w:rPr>
          <w:i/>
        </w:rPr>
        <w:t xml:space="preserve"> </w:t>
      </w:r>
      <w:r w:rsidR="00CA4FEA" w:rsidRPr="00CA4FEA">
        <w:rPr>
          <w:i/>
        </w:rPr>
        <w:t>coli</w:t>
      </w:r>
      <w:r w:rsidR="00A966E9">
        <w:t xml:space="preserve"> per 100</w:t>
      </w:r>
      <w:r w:rsidR="003348E8">
        <w:t xml:space="preserve"> </w:t>
      </w:r>
      <w:r w:rsidR="00A966E9">
        <w:t>ml as a threshold at which to move to more rigorous monitoring and to notify the public</w:t>
      </w:r>
    </w:p>
    <w:p w:rsidR="00340BE7" w:rsidRDefault="00184065" w:rsidP="00267374">
      <w:pPr>
        <w:pStyle w:val="Bullet"/>
        <w:keepLines w:val="0"/>
        <w:numPr>
          <w:ilvl w:val="0"/>
          <w:numId w:val="18"/>
        </w:numPr>
        <w:tabs>
          <w:tab w:val="left" w:pos="397"/>
        </w:tabs>
        <w:spacing w:before="0" w:line="280" w:lineRule="exact"/>
        <w:ind w:left="397" w:hanging="397"/>
        <w:jc w:val="left"/>
      </w:pPr>
      <w:r>
        <w:t>use</w:t>
      </w:r>
      <w:r w:rsidR="00340BE7">
        <w:t xml:space="preserve"> 540 </w:t>
      </w:r>
      <w:r w:rsidR="00CA4FEA" w:rsidRPr="00CA4FEA">
        <w:rPr>
          <w:i/>
        </w:rPr>
        <w:t>E.</w:t>
      </w:r>
      <w:r w:rsidR="00A252B6">
        <w:rPr>
          <w:i/>
        </w:rPr>
        <w:t xml:space="preserve"> </w:t>
      </w:r>
      <w:r w:rsidR="00CA4FEA" w:rsidRPr="00CA4FEA">
        <w:rPr>
          <w:i/>
        </w:rPr>
        <w:t>coli</w:t>
      </w:r>
      <w:r w:rsidR="00912DAF">
        <w:t xml:space="preserve"> per 100</w:t>
      </w:r>
      <w:r w:rsidR="003348E8">
        <w:t xml:space="preserve"> </w:t>
      </w:r>
      <w:r w:rsidR="00912DAF">
        <w:t xml:space="preserve">ml </w:t>
      </w:r>
      <w:r w:rsidR="00340BE7">
        <w:t>as the threshold (the threshold in the 2003 guidelines is 550 which is close enough that the risk is approximately the same) at which water is considered unsafe for swimming</w:t>
      </w:r>
    </w:p>
    <w:p w:rsidR="00340BE7" w:rsidRDefault="00184065" w:rsidP="00267374">
      <w:pPr>
        <w:pStyle w:val="Bullet"/>
        <w:keepLines w:val="0"/>
        <w:numPr>
          <w:ilvl w:val="0"/>
          <w:numId w:val="18"/>
        </w:numPr>
        <w:tabs>
          <w:tab w:val="left" w:pos="397"/>
        </w:tabs>
        <w:spacing w:before="0" w:line="280" w:lineRule="exact"/>
        <w:ind w:left="397" w:hanging="397"/>
        <w:jc w:val="left"/>
      </w:pPr>
      <w:r>
        <w:t>require</w:t>
      </w:r>
      <w:r w:rsidR="00340BE7">
        <w:t xml:space="preserve"> the public to be warned when the water exceeds </w:t>
      </w:r>
      <w:r w:rsidR="006C3152">
        <w:t xml:space="preserve">acceptable </w:t>
      </w:r>
      <w:r w:rsidR="00340BE7">
        <w:t>levels.</w:t>
      </w:r>
    </w:p>
    <w:p w:rsidR="00340BE7" w:rsidRDefault="00340BE7" w:rsidP="00340BE7">
      <w:r>
        <w:t>The proposals build on the existing NPS provisions by:</w:t>
      </w:r>
    </w:p>
    <w:p w:rsidR="00A966E9" w:rsidRDefault="00912DAF" w:rsidP="00267374">
      <w:pPr>
        <w:pStyle w:val="Bullet"/>
        <w:keepLines w:val="0"/>
        <w:numPr>
          <w:ilvl w:val="0"/>
          <w:numId w:val="19"/>
        </w:numPr>
        <w:tabs>
          <w:tab w:val="left" w:pos="397"/>
        </w:tabs>
        <w:spacing w:before="0" w:line="280" w:lineRule="exact"/>
        <w:ind w:left="397" w:hanging="397"/>
        <w:jc w:val="left"/>
      </w:pPr>
      <w:r>
        <w:t xml:space="preserve">introducing a </w:t>
      </w:r>
      <w:r w:rsidRPr="00267374">
        <w:rPr>
          <w:rFonts w:eastAsia="Times New Roman" w:cs="Times New Roman"/>
          <w:szCs w:val="20"/>
        </w:rPr>
        <w:t>requirement</w:t>
      </w:r>
      <w:r>
        <w:t xml:space="preserve"> to improve water quality in large rivers to make them suitable for swimming more often</w:t>
      </w:r>
      <w:r w:rsidR="00340BE7">
        <w:t xml:space="preserve"> </w:t>
      </w:r>
    </w:p>
    <w:p w:rsidR="00912DAF" w:rsidRDefault="00912DAF" w:rsidP="00267374">
      <w:pPr>
        <w:pStyle w:val="Bullet"/>
        <w:keepLines w:val="0"/>
        <w:numPr>
          <w:ilvl w:val="0"/>
          <w:numId w:val="19"/>
        </w:numPr>
        <w:tabs>
          <w:tab w:val="left" w:pos="397"/>
        </w:tabs>
        <w:spacing w:before="0" w:line="280" w:lineRule="exact"/>
        <w:ind w:left="397" w:hanging="397"/>
        <w:jc w:val="left"/>
      </w:pPr>
      <w:r>
        <w:t>setting a non-statutory target setting out expectations for how much quality is expected to improve by</w:t>
      </w:r>
    </w:p>
    <w:p w:rsidR="00912DAF" w:rsidRDefault="00912DAF" w:rsidP="00267374">
      <w:pPr>
        <w:pStyle w:val="Bullet"/>
        <w:keepLines w:val="0"/>
        <w:numPr>
          <w:ilvl w:val="0"/>
          <w:numId w:val="19"/>
        </w:numPr>
        <w:tabs>
          <w:tab w:val="left" w:pos="397"/>
        </w:tabs>
        <w:spacing w:before="0" w:line="280" w:lineRule="exact"/>
        <w:ind w:left="397" w:hanging="397"/>
        <w:jc w:val="left"/>
      </w:pPr>
      <w:r>
        <w:t xml:space="preserve">using 540 </w:t>
      </w:r>
      <w:r w:rsidR="00CA4FEA" w:rsidRPr="00CA4FEA">
        <w:rPr>
          <w:i/>
        </w:rPr>
        <w:t>E.</w:t>
      </w:r>
      <w:r w:rsidR="00A252B6">
        <w:rPr>
          <w:i/>
        </w:rPr>
        <w:t xml:space="preserve"> </w:t>
      </w:r>
      <w:r w:rsidR="00CA4FEA" w:rsidRPr="00CA4FEA">
        <w:rPr>
          <w:i/>
        </w:rPr>
        <w:t>coli</w:t>
      </w:r>
      <w:r>
        <w:t xml:space="preserve"> as the threshold at which a river is considered no longer safe to swim,</w:t>
      </w:r>
      <w:r w:rsidR="001323B4">
        <w:t xml:space="preserve"> </w:t>
      </w:r>
      <w:r w:rsidR="0030008A">
        <w:t>and</w:t>
      </w:r>
      <w:r>
        <w:t xml:space="preserve"> </w:t>
      </w:r>
      <w:r w:rsidR="0034417C">
        <w:t xml:space="preserve">setting categories around how often </w:t>
      </w:r>
      <w:r w:rsidR="006C3152">
        <w:t>the acceptable</w:t>
      </w:r>
      <w:r w:rsidR="0034417C">
        <w:t xml:space="preserve"> threshold is exceeded.</w:t>
      </w:r>
    </w:p>
    <w:p w:rsidR="004D206D" w:rsidRDefault="004D206D" w:rsidP="00BB5D9B">
      <w:pPr>
        <w:jc w:val="left"/>
      </w:pPr>
      <w:r>
        <w:t xml:space="preserve">Figure </w:t>
      </w:r>
      <w:r w:rsidR="000B7B78">
        <w:t>2</w:t>
      </w:r>
      <w:r w:rsidR="007F0AEB">
        <w:t xml:space="preserve"> </w:t>
      </w:r>
      <w:r w:rsidR="00AD10C9">
        <w:t xml:space="preserve">shows a comparison of the </w:t>
      </w:r>
      <w:r>
        <w:t>current proposed categories and the existing NPS categories. It includes all of the bands/categories that would be considered swimmable under each regime.</w:t>
      </w:r>
    </w:p>
    <w:p w:rsidR="000B7B78" w:rsidRDefault="008A688D" w:rsidP="008A688D">
      <w:pPr>
        <w:pStyle w:val="Tableheading0"/>
        <w:ind w:left="993" w:hanging="993"/>
      </w:pPr>
      <w:r>
        <w:lastRenderedPageBreak/>
        <w:t>Figure 2:</w:t>
      </w:r>
      <w:r>
        <w:tab/>
      </w:r>
      <w:r w:rsidR="000B7B78">
        <w:t xml:space="preserve">Comparison of </w:t>
      </w:r>
      <w:r w:rsidR="00D75F6D">
        <w:rPr>
          <w:i/>
        </w:rPr>
        <w:t>C</w:t>
      </w:r>
      <w:r w:rsidR="000B7B78" w:rsidRPr="00D75F6D">
        <w:rPr>
          <w:i/>
        </w:rPr>
        <w:t>ampylobacter</w:t>
      </w:r>
      <w:r w:rsidR="000B7B78">
        <w:t xml:space="preserve"> infection risk under current </w:t>
      </w:r>
      <w:r w:rsidR="00BB5D9B">
        <w:t xml:space="preserve">Freshwater </w:t>
      </w:r>
      <w:r w:rsidR="000B7B78">
        <w:t>NPS</w:t>
      </w:r>
      <w:r w:rsidR="00244DA0">
        <w:t xml:space="preserve"> provisions compared to</w:t>
      </w:r>
      <w:r w:rsidR="000B7B78">
        <w:t xml:space="preserve"> proposed </w:t>
      </w:r>
      <w:r w:rsidR="00BB5D9B">
        <w:t xml:space="preserve">Freshwater </w:t>
      </w:r>
      <w:r w:rsidR="000B7B78">
        <w:t xml:space="preserve">NPS </w:t>
      </w:r>
      <w:r w:rsidR="00244DA0">
        <w:t xml:space="preserve">provisions and </w:t>
      </w:r>
      <w:r w:rsidR="000B7B78">
        <w:t>targets</w:t>
      </w:r>
    </w:p>
    <w:p w:rsidR="00FB4BD4" w:rsidRDefault="006A79EE" w:rsidP="00E20B5E">
      <w:r>
        <w:rPr>
          <w:noProof/>
        </w:rPr>
        <w:drawing>
          <wp:inline distT="0" distB="0" distL="0" distR="0" wp14:anchorId="60A3E26E" wp14:editId="0A32830F">
            <wp:extent cx="5952067" cy="46927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t="13836"/>
                    <a:stretch/>
                  </pic:blipFill>
                  <pic:spPr bwMode="auto">
                    <a:xfrm>
                      <a:off x="0" y="0"/>
                      <a:ext cx="5956300" cy="4696136"/>
                    </a:xfrm>
                    <a:prstGeom prst="rect">
                      <a:avLst/>
                    </a:prstGeom>
                    <a:noFill/>
                    <a:ln>
                      <a:noFill/>
                    </a:ln>
                    <a:extLst>
                      <a:ext uri="{53640926-AAD7-44D8-BBD7-CCE9431645EC}">
                        <a14:shadowObscured xmlns:a14="http://schemas.microsoft.com/office/drawing/2010/main"/>
                      </a:ext>
                    </a:extLst>
                  </pic:spPr>
                </pic:pic>
              </a:graphicData>
            </a:graphic>
          </wp:inline>
        </w:drawing>
      </w:r>
    </w:p>
    <w:p w:rsidR="00770A95" w:rsidRDefault="00411D0C" w:rsidP="00E05534">
      <w:pPr>
        <w:jc w:val="left"/>
      </w:pPr>
      <w:r>
        <w:t xml:space="preserve">Figure 2 </w:t>
      </w:r>
      <w:r w:rsidR="00770A95">
        <w:t>shows that although the new proposed categories</w:t>
      </w:r>
      <w:r w:rsidR="00770A95" w:rsidRPr="00770A95">
        <w:t xml:space="preserve"> </w:t>
      </w:r>
      <w:r w:rsidR="00770A95">
        <w:t xml:space="preserve">would allow swimmable water bodies to exceed the </w:t>
      </w:r>
      <w:r w:rsidR="006C3152">
        <w:t xml:space="preserve">acceptable </w:t>
      </w:r>
      <w:r w:rsidR="00770A95">
        <w:t xml:space="preserve">threshold (540 </w:t>
      </w:r>
      <w:r w:rsidR="00770A95" w:rsidRPr="00E56CBD">
        <w:rPr>
          <w:i/>
        </w:rPr>
        <w:t>E.</w:t>
      </w:r>
      <w:r w:rsidR="00A252B6">
        <w:rPr>
          <w:i/>
        </w:rPr>
        <w:t xml:space="preserve"> </w:t>
      </w:r>
      <w:r w:rsidR="00770A95" w:rsidRPr="00E56CBD">
        <w:rPr>
          <w:i/>
        </w:rPr>
        <w:t>coli</w:t>
      </w:r>
      <w:r w:rsidR="00770A95">
        <w:t xml:space="preserve"> per 100</w:t>
      </w:r>
      <w:r w:rsidR="003348E8">
        <w:t xml:space="preserve"> </w:t>
      </w:r>
      <w:r w:rsidR="00770A95">
        <w:t>ml) more often,</w:t>
      </w:r>
      <w:r w:rsidR="00FE03D6">
        <w:t xml:space="preserve"> they</w:t>
      </w:r>
      <w:r w:rsidR="00770A95">
        <w:t xml:space="preserve"> </w:t>
      </w:r>
      <w:r w:rsidR="00770A95" w:rsidRPr="00770A95">
        <w:t>would</w:t>
      </w:r>
      <w:r w:rsidR="00770A95">
        <w:t xml:space="preserve"> also</w:t>
      </w:r>
      <w:r w:rsidR="00770A95" w:rsidRPr="00770A95">
        <w:t xml:space="preserve"> require swimmable water bodies to have a median </w:t>
      </w:r>
      <w:r w:rsidR="00770A95" w:rsidRPr="00E56CBD">
        <w:rPr>
          <w:i/>
        </w:rPr>
        <w:t>E.</w:t>
      </w:r>
      <w:r w:rsidR="00A252B6">
        <w:rPr>
          <w:i/>
        </w:rPr>
        <w:t xml:space="preserve"> </w:t>
      </w:r>
      <w:r w:rsidR="00770A95" w:rsidRPr="00E56CBD">
        <w:rPr>
          <w:i/>
        </w:rPr>
        <w:t>coli</w:t>
      </w:r>
      <w:r w:rsidR="00770A95" w:rsidRPr="00770A95">
        <w:t xml:space="preserve"> concentration of no more than 130 per 100 ml, where the risk of infection has been predicted to be </w:t>
      </w:r>
      <w:r w:rsidR="00B21AB3">
        <w:t>very</w:t>
      </w:r>
      <w:r w:rsidR="00770A95" w:rsidRPr="00770A95">
        <w:t xml:space="preserve"> low (at most 0.1</w:t>
      </w:r>
      <w:r w:rsidR="00191B45">
        <w:t xml:space="preserve"> per cent</w:t>
      </w:r>
      <w:r w:rsidR="00191B45" w:rsidRPr="00770A95">
        <w:t xml:space="preserve"> </w:t>
      </w:r>
      <w:r w:rsidR="00770A95" w:rsidRPr="00770A95">
        <w:t>or 1 in 1000 exposures). This means that at least 50</w:t>
      </w:r>
      <w:r w:rsidR="00191B45">
        <w:t xml:space="preserve"> per cent</w:t>
      </w:r>
      <w:r w:rsidR="00191B45" w:rsidRPr="00770A95">
        <w:t xml:space="preserve"> </w:t>
      </w:r>
      <w:r w:rsidR="00770A95" w:rsidRPr="00770A95">
        <w:t xml:space="preserve">of the time, even in rivers only graded as ‘fair’ (minimum acceptable swimming grade), there is a very low </w:t>
      </w:r>
      <w:r w:rsidR="0030008A">
        <w:t xml:space="preserve">health </w:t>
      </w:r>
      <w:r w:rsidR="00770A95" w:rsidRPr="00770A95">
        <w:t>risk to swimmers.</w:t>
      </w:r>
    </w:p>
    <w:p w:rsidR="00E56CBD" w:rsidRDefault="00E56CBD" w:rsidP="00E05534">
      <w:pPr>
        <w:jc w:val="left"/>
      </w:pPr>
      <w:r>
        <w:t xml:space="preserve">It means the new categories allow the water to exceed the </w:t>
      </w:r>
      <w:r w:rsidR="006C3152">
        <w:t xml:space="preserve">acceptable </w:t>
      </w:r>
      <w:r>
        <w:t xml:space="preserve">threshold more often, but they also require the water to be very low </w:t>
      </w:r>
      <w:r w:rsidR="0030008A">
        <w:t xml:space="preserve">health </w:t>
      </w:r>
      <w:r>
        <w:t xml:space="preserve">risk </w:t>
      </w:r>
      <w:r w:rsidR="000E0CE6">
        <w:t>at least half of the time</w:t>
      </w:r>
      <w:r>
        <w:t>.</w:t>
      </w:r>
    </w:p>
    <w:p w:rsidR="00920C1F" w:rsidRDefault="00F006BB" w:rsidP="00E05534">
      <w:pPr>
        <w:jc w:val="left"/>
      </w:pPr>
      <w:r>
        <w:t>T</w:t>
      </w:r>
      <w:r w:rsidR="00A14509">
        <w:t>his chart describes the requirements of each category; it does not show the actual distribution of risk that is likely to exist for a river in each of those categories. For example</w:t>
      </w:r>
      <w:r w:rsidR="00920C1F">
        <w:t>:</w:t>
      </w:r>
      <w:r w:rsidR="00A14509">
        <w:t xml:space="preserve"> </w:t>
      </w:r>
    </w:p>
    <w:p w:rsidR="00920C1F" w:rsidRDefault="00F006BB" w:rsidP="00920C1F">
      <w:pPr>
        <w:pStyle w:val="Bullet"/>
        <w:keepLines w:val="0"/>
        <w:numPr>
          <w:ilvl w:val="0"/>
          <w:numId w:val="19"/>
        </w:numPr>
        <w:tabs>
          <w:tab w:val="left" w:pos="397"/>
        </w:tabs>
        <w:spacing w:before="0" w:line="280" w:lineRule="exact"/>
        <w:ind w:left="397" w:hanging="397"/>
        <w:jc w:val="left"/>
      </w:pPr>
      <w:r>
        <w:t>a river in the B band under the existing NPS could have a median of 130 eve</w:t>
      </w:r>
      <w:r w:rsidR="00920C1F">
        <w:t>n though it is not required to</w:t>
      </w:r>
    </w:p>
    <w:p w:rsidR="00A14509" w:rsidRDefault="00F006BB" w:rsidP="00920C1F">
      <w:pPr>
        <w:pStyle w:val="Bullet"/>
        <w:keepLines w:val="0"/>
        <w:numPr>
          <w:ilvl w:val="0"/>
          <w:numId w:val="19"/>
        </w:numPr>
        <w:tabs>
          <w:tab w:val="left" w:pos="397"/>
        </w:tabs>
        <w:spacing w:before="0" w:line="280" w:lineRule="exact"/>
        <w:ind w:left="397" w:hanging="397"/>
        <w:jc w:val="left"/>
      </w:pPr>
      <w:r>
        <w:t xml:space="preserve">a river in the </w:t>
      </w:r>
      <w:r w:rsidR="00920C1F">
        <w:t xml:space="preserve">A band under the existing NPS </w:t>
      </w:r>
      <w:r>
        <w:t>may only achieve a rating of ‘</w:t>
      </w:r>
      <w:r w:rsidR="00490C81">
        <w:t>intermittent</w:t>
      </w:r>
      <w:r>
        <w:t xml:space="preserve">’ under the new proposed categories </w:t>
      </w:r>
      <w:r w:rsidR="00F52601">
        <w:t xml:space="preserve">because </w:t>
      </w:r>
      <w:r w:rsidR="00490C81">
        <w:t xml:space="preserve">the median exceeds 130 </w:t>
      </w:r>
      <w:r w:rsidR="00490C81">
        <w:rPr>
          <w:i/>
        </w:rPr>
        <w:t>E. coli</w:t>
      </w:r>
      <w:r w:rsidR="00490C81">
        <w:t xml:space="preserve"> per 100ml</w:t>
      </w:r>
      <w:r>
        <w:t xml:space="preserve">, even though it exceeds </w:t>
      </w:r>
      <w:r w:rsidR="00513911">
        <w:t>260</w:t>
      </w:r>
      <w:r>
        <w:t xml:space="preserve"> less than </w:t>
      </w:r>
      <w:r w:rsidR="00B4425B">
        <w:t xml:space="preserve">5 </w:t>
      </w:r>
      <w:r>
        <w:t>per</w:t>
      </w:r>
      <w:r w:rsidR="00B4425B">
        <w:t xml:space="preserve"> </w:t>
      </w:r>
      <w:r>
        <w:t>cent of the time.</w:t>
      </w:r>
    </w:p>
    <w:p w:rsidR="00AD10C9" w:rsidRDefault="00AD10C9" w:rsidP="00E05534">
      <w:pPr>
        <w:jc w:val="left"/>
      </w:pPr>
    </w:p>
    <w:p w:rsidR="002C392D" w:rsidRDefault="00E20B5E" w:rsidP="00262001">
      <w:pPr>
        <w:pStyle w:val="Heading1"/>
      </w:pPr>
      <w:bookmarkStart w:id="48" w:name="_Toc479073474"/>
      <w:bookmarkStart w:id="49" w:name="_Toc482112357"/>
      <w:r>
        <w:lastRenderedPageBreak/>
        <w:t>A</w:t>
      </w:r>
      <w:r w:rsidR="002C392D">
        <w:t xml:space="preserve"> comparison between the proposed categories and overseas regimes</w:t>
      </w:r>
      <w:bookmarkEnd w:id="48"/>
      <w:bookmarkEnd w:id="49"/>
    </w:p>
    <w:p w:rsidR="00B87C58" w:rsidRDefault="00B87C58" w:rsidP="00B87C58">
      <w:pPr>
        <w:pStyle w:val="Heading2"/>
      </w:pPr>
      <w:bookmarkStart w:id="50" w:name="_Toc482112358"/>
      <w:bookmarkStart w:id="51" w:name="_Toc479073475"/>
      <w:r>
        <w:t>Limitations of international comparisons</w:t>
      </w:r>
      <w:bookmarkEnd w:id="50"/>
    </w:p>
    <w:p w:rsidR="00B87C58" w:rsidRDefault="00B87C58" w:rsidP="00B87C58">
      <w:pPr>
        <w:pStyle w:val="BodyText"/>
      </w:pPr>
      <w:r>
        <w:t>It is difficult to compare different</w:t>
      </w:r>
      <w:r w:rsidRPr="009049D4">
        <w:rPr>
          <w:i/>
        </w:rPr>
        <w:t xml:space="preserve"> E. coli</w:t>
      </w:r>
      <w:r>
        <w:t xml:space="preserve"> categories internationally because the same </w:t>
      </w:r>
      <w:r w:rsidRPr="00CA4FEA">
        <w:rPr>
          <w:i/>
        </w:rPr>
        <w:t>E.</w:t>
      </w:r>
      <w:r w:rsidR="00A252B6">
        <w:rPr>
          <w:i/>
        </w:rPr>
        <w:t xml:space="preserve"> </w:t>
      </w:r>
      <w:r w:rsidRPr="00CA4FEA">
        <w:rPr>
          <w:i/>
        </w:rPr>
        <w:t>coli</w:t>
      </w:r>
      <w:r>
        <w:t xml:space="preserve"> concentration will have a different infection and/or illness risk in one country to another (due to the presence of different sources of</w:t>
      </w:r>
      <w:r w:rsidRPr="009049D4">
        <w:rPr>
          <w:i/>
        </w:rPr>
        <w:t xml:space="preserve"> E. coli</w:t>
      </w:r>
      <w:r>
        <w:t xml:space="preserve"> contamination). </w:t>
      </w:r>
    </w:p>
    <w:p w:rsidR="00B87C58" w:rsidRDefault="00B87C58" w:rsidP="00B87C58">
      <w:pPr>
        <w:pStyle w:val="BodyText"/>
      </w:pPr>
      <w:r>
        <w:t xml:space="preserve">A more useful approach </w:t>
      </w:r>
      <w:r w:rsidR="008C1792">
        <w:t>is</w:t>
      </w:r>
      <w:r>
        <w:t xml:space="preserve"> to compare infection or illness risk rather than </w:t>
      </w:r>
      <w:r w:rsidRPr="00CA4FEA">
        <w:rPr>
          <w:i/>
        </w:rPr>
        <w:t>E.</w:t>
      </w:r>
      <w:r w:rsidR="00A252B6">
        <w:rPr>
          <w:i/>
        </w:rPr>
        <w:t xml:space="preserve"> </w:t>
      </w:r>
      <w:r w:rsidRPr="00CA4FEA">
        <w:rPr>
          <w:i/>
        </w:rPr>
        <w:t>coli</w:t>
      </w:r>
      <w:r>
        <w:t xml:space="preserve"> concentrations. However</w:t>
      </w:r>
      <w:r w:rsidR="00B4425B">
        <w:t>,</w:t>
      </w:r>
      <w:r>
        <w:t xml:space="preserve"> different approaches to the measurement of infection and illness risk make it difficult to accurately compare across jurisdictions. For example, New Zealand uses infection risk in relation to </w:t>
      </w:r>
      <w:r w:rsidRPr="00D75F6D">
        <w:rPr>
          <w:i/>
        </w:rPr>
        <w:t>Campylobacter</w:t>
      </w:r>
      <w:r>
        <w:t xml:space="preserve">, while the USA uses risk </w:t>
      </w:r>
      <w:r w:rsidR="0091796A">
        <w:t>of</w:t>
      </w:r>
      <w:r>
        <w:t xml:space="preserve"> gastro intestinal i</w:t>
      </w:r>
      <w:r w:rsidR="0091796A">
        <w:t>llnes</w:t>
      </w:r>
      <w:r>
        <w:t xml:space="preserve">s in general. </w:t>
      </w:r>
      <w:r w:rsidRPr="00B33B1E">
        <w:t xml:space="preserve">Infection includes people who do not experience any symptoms of feeling ill, and </w:t>
      </w:r>
      <w:r w:rsidRPr="00D75F6D">
        <w:rPr>
          <w:i/>
        </w:rPr>
        <w:t>Campylobacter</w:t>
      </w:r>
      <w:r w:rsidRPr="00B33B1E">
        <w:t xml:space="preserve"> is </w:t>
      </w:r>
      <w:r>
        <w:t xml:space="preserve">only </w:t>
      </w:r>
      <w:r w:rsidRPr="00B33B1E">
        <w:t>one type of gastro intestinal infection.</w:t>
      </w:r>
    </w:p>
    <w:p w:rsidR="00B87C58" w:rsidRDefault="00B87C58" w:rsidP="00B87C58">
      <w:pPr>
        <w:pStyle w:val="BodyText"/>
      </w:pPr>
      <w:r>
        <w:t>Different jurisdictions also have different sampling requirements. For example the EU ratings are based on the previous four bathing seasons with at least four samples taken per season</w:t>
      </w:r>
      <w:r w:rsidR="00BF34B9">
        <w:t xml:space="preserve">, and in the US the grade is based on </w:t>
      </w:r>
      <w:r w:rsidR="0030008A">
        <w:t xml:space="preserve">approximately four samples over </w:t>
      </w:r>
      <w:r w:rsidR="00BF34B9">
        <w:t>a 30 day sampling period</w:t>
      </w:r>
      <w:r>
        <w:t>. For the proposed attribute tables in the New Zealand NPS, the categories are based on 100 samples taken regularly over a maximum of 10 years.</w:t>
      </w:r>
    </w:p>
    <w:p w:rsidR="00145D1E" w:rsidRDefault="00145D1E" w:rsidP="00145D1E">
      <w:pPr>
        <w:pStyle w:val="BodyText"/>
      </w:pPr>
      <w:r>
        <w:t>These limitations should be noted before attempting to draw conclusions about how the New Zealand categories compare to other countries’</w:t>
      </w:r>
      <w:r w:rsidR="00B4425B">
        <w:t xml:space="preserve"> categories</w:t>
      </w:r>
      <w:r>
        <w:t>. However</w:t>
      </w:r>
      <w:r w:rsidR="00B4425B">
        <w:t>,</w:t>
      </w:r>
      <w:r>
        <w:t xml:space="preserve"> for completeness the following two section</w:t>
      </w:r>
      <w:r w:rsidR="00B4425B">
        <w:t>s</w:t>
      </w:r>
      <w:r>
        <w:t xml:space="preserve"> provide comparisons with the thresholds used by the European Union and the United States.</w:t>
      </w:r>
    </w:p>
    <w:p w:rsidR="00E20B5E" w:rsidRDefault="00A73AC6" w:rsidP="00A73AC6">
      <w:pPr>
        <w:pStyle w:val="Heading2"/>
      </w:pPr>
      <w:bookmarkStart w:id="52" w:name="_Toc482112359"/>
      <w:r>
        <w:t>European Union</w:t>
      </w:r>
      <w:bookmarkEnd w:id="51"/>
      <w:bookmarkEnd w:id="52"/>
    </w:p>
    <w:p w:rsidR="00B964DC" w:rsidRDefault="00A73AC6" w:rsidP="002C392D">
      <w:pPr>
        <w:pStyle w:val="BodyText"/>
      </w:pPr>
      <w:r>
        <w:t xml:space="preserve">The European Union’s 2006 </w:t>
      </w:r>
      <w:hyperlink r:id="rId26" w:history="1">
        <w:r w:rsidRPr="00760AD7">
          <w:rPr>
            <w:rStyle w:val="Hyperlink"/>
          </w:rPr>
          <w:t>Bathing Water Directive</w:t>
        </w:r>
      </w:hyperlink>
      <w:r>
        <w:t xml:space="preserve"> has rules to safeguard human health in relation to recreation in water. It requires member states to monitor </w:t>
      </w:r>
      <w:r w:rsidR="00CA4FEA" w:rsidRPr="00CA4FEA">
        <w:rPr>
          <w:i/>
        </w:rPr>
        <w:t>E.</w:t>
      </w:r>
      <w:r w:rsidR="00A252B6">
        <w:rPr>
          <w:i/>
        </w:rPr>
        <w:t xml:space="preserve"> </w:t>
      </w:r>
      <w:r w:rsidR="00CA4FEA" w:rsidRPr="00CA4FEA">
        <w:rPr>
          <w:i/>
        </w:rPr>
        <w:t>coli</w:t>
      </w:r>
      <w:r w:rsidR="00631AEC">
        <w:t xml:space="preserve"> and enterococci. They classify water as excellent, good, sufficient, and poor. </w:t>
      </w:r>
      <w:r w:rsidR="00B964DC">
        <w:t xml:space="preserve">Table </w:t>
      </w:r>
      <w:r w:rsidR="00E411CB">
        <w:t>6</w:t>
      </w:r>
      <w:r w:rsidR="00B964DC">
        <w:t xml:space="preserve"> summarises the thresholds for bathing waters under the EU directive.</w:t>
      </w:r>
    </w:p>
    <w:p w:rsidR="00B964DC" w:rsidRDefault="00AF7313" w:rsidP="008A688D">
      <w:pPr>
        <w:pStyle w:val="Tableheading0"/>
        <w:ind w:left="993" w:hanging="993"/>
      </w:pPr>
      <w:r>
        <w:t xml:space="preserve">Table </w:t>
      </w:r>
      <w:r w:rsidR="00E411CB">
        <w:t>6</w:t>
      </w:r>
      <w:r w:rsidR="008A688D">
        <w:t>:</w:t>
      </w:r>
      <w:r w:rsidR="008A688D">
        <w:tab/>
      </w:r>
      <w:r>
        <w:t>Comparison between proposed New Zealand swimming categories and EU categories</w:t>
      </w:r>
    </w:p>
    <w:tbl>
      <w:tblPr>
        <w:tblStyle w:val="TableGrid"/>
        <w:tblW w:w="9129"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979"/>
        <w:gridCol w:w="1416"/>
        <w:gridCol w:w="1275"/>
        <w:gridCol w:w="1972"/>
        <w:gridCol w:w="1118"/>
        <w:gridCol w:w="1369"/>
      </w:tblGrid>
      <w:tr w:rsidR="00BB44BF" w:rsidRPr="006B77BB" w:rsidTr="00885F62">
        <w:trPr>
          <w:tblHeader/>
        </w:trPr>
        <w:tc>
          <w:tcPr>
            <w:tcW w:w="1979" w:type="dxa"/>
            <w:shd w:val="clear" w:color="auto" w:fill="1C556C"/>
          </w:tcPr>
          <w:p w:rsidR="00BB44BF" w:rsidRPr="006B77BB" w:rsidRDefault="00BB44BF" w:rsidP="00F76B6B">
            <w:pPr>
              <w:pStyle w:val="TableTextbold"/>
              <w:rPr>
                <w:color w:val="FFFFFF" w:themeColor="background1"/>
              </w:rPr>
            </w:pPr>
            <w:r>
              <w:rPr>
                <w:color w:val="FFFFFF" w:themeColor="background1"/>
              </w:rPr>
              <w:t>EU Category</w:t>
            </w:r>
          </w:p>
        </w:tc>
        <w:tc>
          <w:tcPr>
            <w:tcW w:w="1416" w:type="dxa"/>
            <w:shd w:val="clear" w:color="auto" w:fill="1C556C"/>
          </w:tcPr>
          <w:p w:rsidR="00BB44BF" w:rsidRPr="006B77BB" w:rsidRDefault="00BB44BF" w:rsidP="00F76B6B">
            <w:pPr>
              <w:pStyle w:val="TableTextbold"/>
              <w:rPr>
                <w:color w:val="FFFFFF" w:themeColor="background1"/>
              </w:rPr>
            </w:pPr>
            <w:r>
              <w:rPr>
                <w:color w:val="FFFFFF" w:themeColor="background1"/>
              </w:rPr>
              <w:t>Threshold</w:t>
            </w:r>
          </w:p>
        </w:tc>
        <w:tc>
          <w:tcPr>
            <w:tcW w:w="1275" w:type="dxa"/>
            <w:shd w:val="clear" w:color="auto" w:fill="1C556C"/>
          </w:tcPr>
          <w:p w:rsidR="00BB44BF" w:rsidRPr="006B77BB" w:rsidRDefault="00BB44BF" w:rsidP="00F76B6B">
            <w:pPr>
              <w:pStyle w:val="TableTextbold"/>
              <w:rPr>
                <w:color w:val="FFFFFF" w:themeColor="background1"/>
              </w:rPr>
            </w:pPr>
            <w:r>
              <w:rPr>
                <w:color w:val="FFFFFF" w:themeColor="background1"/>
              </w:rPr>
              <w:t>Percentile</w:t>
            </w:r>
          </w:p>
        </w:tc>
        <w:tc>
          <w:tcPr>
            <w:tcW w:w="1972" w:type="dxa"/>
            <w:shd w:val="clear" w:color="auto" w:fill="1C556C"/>
          </w:tcPr>
          <w:p w:rsidR="00BB44BF" w:rsidRPr="006B77BB" w:rsidRDefault="00885F62" w:rsidP="00F76B6B">
            <w:pPr>
              <w:pStyle w:val="TableTextbold"/>
              <w:rPr>
                <w:color w:val="FFFFFF" w:themeColor="background1"/>
              </w:rPr>
            </w:pPr>
            <w:r>
              <w:rPr>
                <w:color w:val="FFFFFF" w:themeColor="background1"/>
              </w:rPr>
              <w:t>Equivalent NZ category</w:t>
            </w:r>
          </w:p>
        </w:tc>
        <w:tc>
          <w:tcPr>
            <w:tcW w:w="1118" w:type="dxa"/>
            <w:shd w:val="clear" w:color="auto" w:fill="1C556C"/>
          </w:tcPr>
          <w:p w:rsidR="00BB44BF" w:rsidRPr="006B77BB" w:rsidRDefault="00885F62" w:rsidP="00380719">
            <w:pPr>
              <w:pStyle w:val="TableTextbold"/>
              <w:rPr>
                <w:color w:val="FFFFFF" w:themeColor="background1"/>
              </w:rPr>
            </w:pPr>
            <w:r>
              <w:rPr>
                <w:color w:val="FFFFFF" w:themeColor="background1"/>
              </w:rPr>
              <w:t>T</w:t>
            </w:r>
            <w:r w:rsidR="00380719">
              <w:rPr>
                <w:color w:val="FFFFFF" w:themeColor="background1"/>
              </w:rPr>
              <w:t>hreshold</w:t>
            </w:r>
          </w:p>
        </w:tc>
        <w:tc>
          <w:tcPr>
            <w:tcW w:w="1369" w:type="dxa"/>
            <w:shd w:val="clear" w:color="auto" w:fill="1C556C"/>
          </w:tcPr>
          <w:p w:rsidR="00BB44BF" w:rsidRPr="006B77BB" w:rsidRDefault="00380719" w:rsidP="00380719">
            <w:pPr>
              <w:pStyle w:val="TableTextbold"/>
              <w:rPr>
                <w:color w:val="FFFFFF" w:themeColor="background1"/>
              </w:rPr>
            </w:pPr>
            <w:r>
              <w:rPr>
                <w:color w:val="FFFFFF" w:themeColor="background1"/>
              </w:rPr>
              <w:t>Percentile</w:t>
            </w:r>
          </w:p>
        </w:tc>
      </w:tr>
      <w:tr w:rsidR="00BB44BF" w:rsidRPr="006B77BB" w:rsidTr="00885F62">
        <w:tc>
          <w:tcPr>
            <w:tcW w:w="1979" w:type="dxa"/>
            <w:shd w:val="clear" w:color="auto" w:fill="auto"/>
          </w:tcPr>
          <w:p w:rsidR="00BB44BF" w:rsidRPr="006B77BB" w:rsidRDefault="00885F62" w:rsidP="00885F62">
            <w:pPr>
              <w:pStyle w:val="TableDash"/>
              <w:numPr>
                <w:ilvl w:val="0"/>
                <w:numId w:val="0"/>
              </w:numPr>
              <w:spacing w:before="0" w:after="60" w:line="240" w:lineRule="atLeast"/>
              <w:jc w:val="left"/>
            </w:pPr>
            <w:r>
              <w:t xml:space="preserve">Excellent </w:t>
            </w:r>
          </w:p>
        </w:tc>
        <w:tc>
          <w:tcPr>
            <w:tcW w:w="1416" w:type="dxa"/>
          </w:tcPr>
          <w:p w:rsidR="00BB44BF" w:rsidRPr="006B77BB" w:rsidRDefault="004C6C94" w:rsidP="00F76B6B">
            <w:pPr>
              <w:pStyle w:val="TableText"/>
            </w:pPr>
            <w:r>
              <w:t>500</w:t>
            </w:r>
          </w:p>
        </w:tc>
        <w:tc>
          <w:tcPr>
            <w:tcW w:w="1275" w:type="dxa"/>
          </w:tcPr>
          <w:p w:rsidR="00BB44BF" w:rsidRPr="006B77BB" w:rsidRDefault="004C6C94" w:rsidP="00F76B6B">
            <w:pPr>
              <w:pStyle w:val="TableText"/>
            </w:pPr>
            <w:r>
              <w:t>95</w:t>
            </w:r>
            <w:r w:rsidRPr="004C6C94">
              <w:rPr>
                <w:vertAlign w:val="superscript"/>
              </w:rPr>
              <w:t>th</w:t>
            </w:r>
            <w:r>
              <w:t xml:space="preserve"> </w:t>
            </w:r>
          </w:p>
        </w:tc>
        <w:tc>
          <w:tcPr>
            <w:tcW w:w="1972" w:type="dxa"/>
          </w:tcPr>
          <w:p w:rsidR="00BB44BF" w:rsidRPr="006B77BB" w:rsidRDefault="004C6C94" w:rsidP="00F76B6B">
            <w:pPr>
              <w:pStyle w:val="TableText"/>
            </w:pPr>
            <w:r>
              <w:t>Excellent</w:t>
            </w:r>
          </w:p>
        </w:tc>
        <w:tc>
          <w:tcPr>
            <w:tcW w:w="1118" w:type="dxa"/>
          </w:tcPr>
          <w:p w:rsidR="00BB44BF" w:rsidRPr="006B77BB" w:rsidRDefault="004C6C94" w:rsidP="00F76B6B">
            <w:pPr>
              <w:pStyle w:val="TableText"/>
            </w:pPr>
            <w:r>
              <w:t>540</w:t>
            </w:r>
          </w:p>
        </w:tc>
        <w:tc>
          <w:tcPr>
            <w:tcW w:w="1369" w:type="dxa"/>
            <w:shd w:val="clear" w:color="auto" w:fill="auto"/>
          </w:tcPr>
          <w:p w:rsidR="004C6C94" w:rsidRPr="006B77BB" w:rsidRDefault="004C6C94" w:rsidP="00F76B6B">
            <w:pPr>
              <w:pStyle w:val="TableText"/>
            </w:pPr>
            <w:r>
              <w:t>95</w:t>
            </w:r>
            <w:r w:rsidRPr="004C6C94">
              <w:rPr>
                <w:vertAlign w:val="superscript"/>
              </w:rPr>
              <w:t>th</w:t>
            </w:r>
          </w:p>
        </w:tc>
      </w:tr>
      <w:tr w:rsidR="00885F62" w:rsidRPr="006B77BB" w:rsidTr="00885F62">
        <w:tc>
          <w:tcPr>
            <w:tcW w:w="1979" w:type="dxa"/>
            <w:vMerge w:val="restart"/>
            <w:shd w:val="clear" w:color="auto" w:fill="auto"/>
          </w:tcPr>
          <w:p w:rsidR="00885F62" w:rsidRPr="006B77BB" w:rsidRDefault="00885F62" w:rsidP="00F76B6B">
            <w:pPr>
              <w:pStyle w:val="TableText"/>
            </w:pPr>
            <w:r>
              <w:t>Good</w:t>
            </w:r>
          </w:p>
        </w:tc>
        <w:tc>
          <w:tcPr>
            <w:tcW w:w="1416" w:type="dxa"/>
            <w:vMerge w:val="restart"/>
          </w:tcPr>
          <w:p w:rsidR="00885F62" w:rsidRPr="006B77BB" w:rsidRDefault="004C6C94" w:rsidP="00F76B6B">
            <w:pPr>
              <w:pStyle w:val="TableText"/>
            </w:pPr>
            <w:r>
              <w:t>1000</w:t>
            </w:r>
          </w:p>
        </w:tc>
        <w:tc>
          <w:tcPr>
            <w:tcW w:w="1275" w:type="dxa"/>
            <w:vMerge w:val="restart"/>
          </w:tcPr>
          <w:p w:rsidR="00885F62" w:rsidRPr="006B77BB" w:rsidRDefault="004C6C94" w:rsidP="00F76B6B">
            <w:pPr>
              <w:pStyle w:val="TableText"/>
            </w:pPr>
            <w:r>
              <w:t>95</w:t>
            </w:r>
            <w:r w:rsidRPr="004C6C94">
              <w:rPr>
                <w:vertAlign w:val="superscript"/>
              </w:rPr>
              <w:t>th</w:t>
            </w:r>
            <w:r>
              <w:t xml:space="preserve"> </w:t>
            </w:r>
          </w:p>
        </w:tc>
        <w:tc>
          <w:tcPr>
            <w:tcW w:w="1972" w:type="dxa"/>
            <w:vMerge w:val="restart"/>
          </w:tcPr>
          <w:p w:rsidR="00885F62" w:rsidRPr="006B77BB" w:rsidRDefault="004C6C94" w:rsidP="00F76B6B">
            <w:pPr>
              <w:pStyle w:val="TableText"/>
            </w:pPr>
            <w:r>
              <w:t>Good</w:t>
            </w:r>
          </w:p>
        </w:tc>
        <w:tc>
          <w:tcPr>
            <w:tcW w:w="1118" w:type="dxa"/>
          </w:tcPr>
          <w:p w:rsidR="00885F62" w:rsidRPr="006B77BB" w:rsidRDefault="004C6C94" w:rsidP="00F76B6B">
            <w:pPr>
              <w:pStyle w:val="TableText"/>
            </w:pPr>
            <w:r>
              <w:t>1000</w:t>
            </w:r>
          </w:p>
        </w:tc>
        <w:tc>
          <w:tcPr>
            <w:tcW w:w="1369" w:type="dxa"/>
            <w:shd w:val="clear" w:color="auto" w:fill="auto"/>
          </w:tcPr>
          <w:p w:rsidR="00885F62" w:rsidRPr="006B77BB" w:rsidRDefault="004C6C94" w:rsidP="00F76B6B">
            <w:pPr>
              <w:pStyle w:val="TableText"/>
            </w:pPr>
            <w:r>
              <w:t>95</w:t>
            </w:r>
            <w:r w:rsidRPr="004C6C94">
              <w:rPr>
                <w:vertAlign w:val="superscript"/>
              </w:rPr>
              <w:t>th</w:t>
            </w:r>
            <w:r>
              <w:t xml:space="preserve"> </w:t>
            </w:r>
          </w:p>
        </w:tc>
      </w:tr>
      <w:tr w:rsidR="00885F62" w:rsidRPr="006B77BB" w:rsidTr="00885F62">
        <w:tc>
          <w:tcPr>
            <w:tcW w:w="1979" w:type="dxa"/>
            <w:vMerge/>
          </w:tcPr>
          <w:p w:rsidR="00885F62" w:rsidRPr="006B77BB" w:rsidRDefault="00885F62" w:rsidP="00F76B6B">
            <w:pPr>
              <w:pStyle w:val="TableText"/>
            </w:pPr>
          </w:p>
        </w:tc>
        <w:tc>
          <w:tcPr>
            <w:tcW w:w="1416" w:type="dxa"/>
            <w:vMerge/>
          </w:tcPr>
          <w:p w:rsidR="00885F62" w:rsidRPr="006B77BB" w:rsidRDefault="00885F62" w:rsidP="00F76B6B">
            <w:pPr>
              <w:pStyle w:val="TableText"/>
            </w:pPr>
          </w:p>
        </w:tc>
        <w:tc>
          <w:tcPr>
            <w:tcW w:w="1275" w:type="dxa"/>
            <w:vMerge/>
          </w:tcPr>
          <w:p w:rsidR="00885F62" w:rsidRPr="006B77BB" w:rsidRDefault="00885F62" w:rsidP="00F76B6B">
            <w:pPr>
              <w:pStyle w:val="TableText"/>
            </w:pPr>
          </w:p>
        </w:tc>
        <w:tc>
          <w:tcPr>
            <w:tcW w:w="1972" w:type="dxa"/>
            <w:vMerge/>
          </w:tcPr>
          <w:p w:rsidR="00885F62" w:rsidRPr="006B77BB" w:rsidRDefault="00885F62" w:rsidP="00F76B6B">
            <w:pPr>
              <w:pStyle w:val="TableText"/>
            </w:pPr>
          </w:p>
        </w:tc>
        <w:tc>
          <w:tcPr>
            <w:tcW w:w="1118" w:type="dxa"/>
          </w:tcPr>
          <w:p w:rsidR="00885F62" w:rsidRPr="006B77BB" w:rsidRDefault="004C6C94" w:rsidP="00F76B6B">
            <w:pPr>
              <w:pStyle w:val="TableText"/>
            </w:pPr>
            <w:r>
              <w:t>540</w:t>
            </w:r>
          </w:p>
        </w:tc>
        <w:tc>
          <w:tcPr>
            <w:tcW w:w="1369" w:type="dxa"/>
          </w:tcPr>
          <w:p w:rsidR="00885F62" w:rsidRPr="006B77BB" w:rsidRDefault="004C6C94" w:rsidP="00F76B6B">
            <w:pPr>
              <w:pStyle w:val="TableText"/>
            </w:pPr>
            <w:r>
              <w:t>90</w:t>
            </w:r>
            <w:r w:rsidRPr="004C6C94">
              <w:rPr>
                <w:vertAlign w:val="superscript"/>
              </w:rPr>
              <w:t>th</w:t>
            </w:r>
            <w:r>
              <w:t xml:space="preserve"> </w:t>
            </w:r>
          </w:p>
        </w:tc>
      </w:tr>
      <w:tr w:rsidR="00885F62" w:rsidRPr="006B77BB" w:rsidTr="00885F62">
        <w:tc>
          <w:tcPr>
            <w:tcW w:w="1979" w:type="dxa"/>
            <w:vMerge w:val="restart"/>
          </w:tcPr>
          <w:p w:rsidR="00885F62" w:rsidRPr="006B77BB" w:rsidRDefault="00885F62" w:rsidP="00F76B6B">
            <w:pPr>
              <w:pStyle w:val="TableText"/>
            </w:pPr>
            <w:r>
              <w:t>Sufficient</w:t>
            </w:r>
          </w:p>
        </w:tc>
        <w:tc>
          <w:tcPr>
            <w:tcW w:w="1416" w:type="dxa"/>
            <w:vMerge w:val="restart"/>
          </w:tcPr>
          <w:p w:rsidR="00885F62" w:rsidRPr="006B77BB" w:rsidRDefault="004C6C94" w:rsidP="00F76B6B">
            <w:pPr>
              <w:pStyle w:val="TableText"/>
            </w:pPr>
            <w:r>
              <w:t>900</w:t>
            </w:r>
          </w:p>
        </w:tc>
        <w:tc>
          <w:tcPr>
            <w:tcW w:w="1275" w:type="dxa"/>
            <w:vMerge w:val="restart"/>
          </w:tcPr>
          <w:p w:rsidR="00885F62" w:rsidRPr="006B77BB" w:rsidRDefault="004C6C94" w:rsidP="00F76B6B">
            <w:pPr>
              <w:pStyle w:val="TableText"/>
            </w:pPr>
            <w:r>
              <w:t>90</w:t>
            </w:r>
            <w:r w:rsidRPr="004C6C94">
              <w:rPr>
                <w:vertAlign w:val="superscript"/>
              </w:rPr>
              <w:t>th</w:t>
            </w:r>
            <w:r>
              <w:t xml:space="preserve"> </w:t>
            </w:r>
          </w:p>
        </w:tc>
        <w:tc>
          <w:tcPr>
            <w:tcW w:w="1972" w:type="dxa"/>
            <w:vMerge w:val="restart"/>
          </w:tcPr>
          <w:p w:rsidR="00885F62" w:rsidRPr="006B77BB" w:rsidRDefault="004C6C94" w:rsidP="00F76B6B">
            <w:pPr>
              <w:pStyle w:val="TableText"/>
            </w:pPr>
            <w:r>
              <w:t>Fair</w:t>
            </w:r>
          </w:p>
        </w:tc>
        <w:tc>
          <w:tcPr>
            <w:tcW w:w="1118" w:type="dxa"/>
          </w:tcPr>
          <w:p w:rsidR="00885F62" w:rsidRPr="006B77BB" w:rsidRDefault="004C6C94" w:rsidP="00F76B6B">
            <w:pPr>
              <w:pStyle w:val="TableText"/>
            </w:pPr>
            <w:r>
              <w:t>1200</w:t>
            </w:r>
          </w:p>
        </w:tc>
        <w:tc>
          <w:tcPr>
            <w:tcW w:w="1369" w:type="dxa"/>
          </w:tcPr>
          <w:p w:rsidR="00885F62" w:rsidRPr="006B77BB" w:rsidRDefault="004C6C94" w:rsidP="00F76B6B">
            <w:pPr>
              <w:pStyle w:val="TableText"/>
            </w:pPr>
            <w:r>
              <w:t>95</w:t>
            </w:r>
            <w:r w:rsidRPr="004C6C94">
              <w:rPr>
                <w:vertAlign w:val="superscript"/>
              </w:rPr>
              <w:t>th</w:t>
            </w:r>
            <w:r>
              <w:t xml:space="preserve"> </w:t>
            </w:r>
          </w:p>
        </w:tc>
      </w:tr>
      <w:tr w:rsidR="00885F62" w:rsidRPr="006B77BB" w:rsidTr="00885F62">
        <w:tc>
          <w:tcPr>
            <w:tcW w:w="1979" w:type="dxa"/>
            <w:vMerge/>
          </w:tcPr>
          <w:p w:rsidR="00885F62" w:rsidRPr="006B77BB" w:rsidRDefault="00885F62" w:rsidP="00F76B6B">
            <w:pPr>
              <w:pStyle w:val="TableText"/>
            </w:pPr>
          </w:p>
        </w:tc>
        <w:tc>
          <w:tcPr>
            <w:tcW w:w="1416" w:type="dxa"/>
            <w:vMerge/>
          </w:tcPr>
          <w:p w:rsidR="00885F62" w:rsidRPr="006B77BB" w:rsidRDefault="00885F62" w:rsidP="00F76B6B">
            <w:pPr>
              <w:pStyle w:val="TableText"/>
            </w:pPr>
          </w:p>
        </w:tc>
        <w:tc>
          <w:tcPr>
            <w:tcW w:w="1275" w:type="dxa"/>
            <w:vMerge/>
          </w:tcPr>
          <w:p w:rsidR="00885F62" w:rsidRPr="006B77BB" w:rsidRDefault="00885F62" w:rsidP="00F76B6B">
            <w:pPr>
              <w:pStyle w:val="TableText"/>
            </w:pPr>
          </w:p>
        </w:tc>
        <w:tc>
          <w:tcPr>
            <w:tcW w:w="1972" w:type="dxa"/>
            <w:vMerge/>
          </w:tcPr>
          <w:p w:rsidR="00885F62" w:rsidRPr="006B77BB" w:rsidRDefault="00885F62" w:rsidP="00F76B6B">
            <w:pPr>
              <w:pStyle w:val="TableText"/>
            </w:pPr>
          </w:p>
        </w:tc>
        <w:tc>
          <w:tcPr>
            <w:tcW w:w="1118" w:type="dxa"/>
          </w:tcPr>
          <w:p w:rsidR="00885F62" w:rsidRPr="006B77BB" w:rsidRDefault="004C6C94" w:rsidP="00F76B6B">
            <w:pPr>
              <w:pStyle w:val="TableText"/>
            </w:pPr>
            <w:r>
              <w:t>540</w:t>
            </w:r>
          </w:p>
        </w:tc>
        <w:tc>
          <w:tcPr>
            <w:tcW w:w="1369" w:type="dxa"/>
          </w:tcPr>
          <w:p w:rsidR="00885F62" w:rsidRPr="006B77BB" w:rsidRDefault="004C6C94" w:rsidP="00F76B6B">
            <w:pPr>
              <w:pStyle w:val="TableText"/>
            </w:pPr>
            <w:r>
              <w:t>80</w:t>
            </w:r>
            <w:r w:rsidRPr="004C6C94">
              <w:rPr>
                <w:vertAlign w:val="superscript"/>
              </w:rPr>
              <w:t>th</w:t>
            </w:r>
            <w:r>
              <w:t xml:space="preserve"> </w:t>
            </w:r>
          </w:p>
        </w:tc>
      </w:tr>
    </w:tbl>
    <w:p w:rsidR="009C7DE9" w:rsidRDefault="009C7DE9" w:rsidP="009C7DE9">
      <w:pPr>
        <w:pStyle w:val="Subtitle"/>
        <w:rPr>
          <w:rFonts w:asciiTheme="minorHAnsi" w:hAnsiTheme="minorHAnsi"/>
        </w:rPr>
      </w:pPr>
      <w:r>
        <w:br w:type="page"/>
      </w:r>
    </w:p>
    <w:p w:rsidR="00E46AB4" w:rsidRDefault="00402151" w:rsidP="00402151">
      <w:pPr>
        <w:pStyle w:val="BodyText"/>
      </w:pPr>
      <w:r>
        <w:lastRenderedPageBreak/>
        <w:t xml:space="preserve">The </w:t>
      </w:r>
      <w:r w:rsidR="00A23E0E">
        <w:t xml:space="preserve">categories in the </w:t>
      </w:r>
      <w:r>
        <w:t>EU directive</w:t>
      </w:r>
      <w:r w:rsidR="00A23E0E">
        <w:t xml:space="preserve"> are</w:t>
      </w:r>
      <w:r>
        <w:t xml:space="preserve"> s</w:t>
      </w:r>
      <w:r w:rsidR="00A23E0E">
        <w:t>imilar, but not the same as, those</w:t>
      </w:r>
      <w:r>
        <w:t xml:space="preserve"> proposed </w:t>
      </w:r>
      <w:r w:rsidR="00A23E0E">
        <w:t xml:space="preserve">for </w:t>
      </w:r>
      <w:r>
        <w:t>New Zealand</w:t>
      </w:r>
      <w:r w:rsidR="00BB7DF6">
        <w:t>:</w:t>
      </w:r>
    </w:p>
    <w:p w:rsidR="00BB7DF6" w:rsidRDefault="00C33BFB" w:rsidP="00267374">
      <w:pPr>
        <w:pStyle w:val="Bullet"/>
        <w:keepLines w:val="0"/>
        <w:numPr>
          <w:ilvl w:val="0"/>
          <w:numId w:val="15"/>
        </w:numPr>
        <w:tabs>
          <w:tab w:val="left" w:pos="397"/>
        </w:tabs>
        <w:spacing w:before="0" w:line="280" w:lineRule="exact"/>
        <w:ind w:left="397" w:hanging="397"/>
        <w:jc w:val="left"/>
      </w:pPr>
      <w:r>
        <w:t>T</w:t>
      </w:r>
      <w:r w:rsidR="00BB7DF6">
        <w:t xml:space="preserve">he requirement for </w:t>
      </w:r>
      <w:r>
        <w:t xml:space="preserve">the ‘excellent’ category uses the same percentile measurement, but is 500 </w:t>
      </w:r>
      <w:r w:rsidR="00CA4FEA" w:rsidRPr="00CA4FEA">
        <w:rPr>
          <w:i/>
        </w:rPr>
        <w:t>E.</w:t>
      </w:r>
      <w:r w:rsidR="00A252B6">
        <w:rPr>
          <w:i/>
        </w:rPr>
        <w:t xml:space="preserve"> </w:t>
      </w:r>
      <w:r w:rsidR="00CA4FEA" w:rsidRPr="00CA4FEA">
        <w:rPr>
          <w:i/>
        </w:rPr>
        <w:t>coli</w:t>
      </w:r>
      <w:r>
        <w:t xml:space="preserve"> per 100</w:t>
      </w:r>
      <w:r w:rsidR="003348E8">
        <w:t xml:space="preserve"> </w:t>
      </w:r>
      <w:r>
        <w:t xml:space="preserve">ml in the EU and 540 </w:t>
      </w:r>
      <w:r w:rsidR="00CA4FEA" w:rsidRPr="00CA4FEA">
        <w:rPr>
          <w:i/>
        </w:rPr>
        <w:t>E.</w:t>
      </w:r>
      <w:r w:rsidR="00A252B6">
        <w:rPr>
          <w:i/>
        </w:rPr>
        <w:t xml:space="preserve"> </w:t>
      </w:r>
      <w:r w:rsidR="00CA4FEA" w:rsidRPr="00CA4FEA">
        <w:rPr>
          <w:i/>
        </w:rPr>
        <w:t>coli</w:t>
      </w:r>
      <w:r>
        <w:t xml:space="preserve"> per 100</w:t>
      </w:r>
      <w:r w:rsidR="003348E8">
        <w:t xml:space="preserve"> </w:t>
      </w:r>
      <w:r>
        <w:t>ml in New Zealand</w:t>
      </w:r>
      <w:r w:rsidR="00FD2F03">
        <w:t>. (Note: there is very little difference between these two numbers statistically)</w:t>
      </w:r>
      <w:r>
        <w:t>.</w:t>
      </w:r>
    </w:p>
    <w:p w:rsidR="00C33BFB" w:rsidRDefault="00C33BFB" w:rsidP="00267374">
      <w:pPr>
        <w:pStyle w:val="Bullet"/>
        <w:keepLines w:val="0"/>
        <w:numPr>
          <w:ilvl w:val="0"/>
          <w:numId w:val="15"/>
        </w:numPr>
        <w:tabs>
          <w:tab w:val="left" w:pos="397"/>
        </w:tabs>
        <w:spacing w:before="0" w:line="280" w:lineRule="exact"/>
        <w:ind w:left="397" w:hanging="397"/>
        <w:jc w:val="left"/>
      </w:pPr>
      <w:r>
        <w:t xml:space="preserve">The ‘good’ </w:t>
      </w:r>
      <w:r w:rsidRPr="00267374">
        <w:rPr>
          <w:rFonts w:eastAsia="Times New Roman" w:cs="Times New Roman"/>
          <w:szCs w:val="20"/>
        </w:rPr>
        <w:t>categories</w:t>
      </w:r>
      <w:r>
        <w:t xml:space="preserve"> require the same 95</w:t>
      </w:r>
      <w:r w:rsidRPr="00C33BFB">
        <w:rPr>
          <w:vertAlign w:val="superscript"/>
        </w:rPr>
        <w:t>th</w:t>
      </w:r>
      <w:r>
        <w:t xml:space="preserve"> percentile in both the EU and New Zealand.</w:t>
      </w:r>
    </w:p>
    <w:p w:rsidR="0091796A" w:rsidRDefault="0091796A" w:rsidP="0091796A">
      <w:pPr>
        <w:pStyle w:val="BodyText"/>
      </w:pPr>
      <w:r>
        <w:t>The EU standard also allows for up to 15 per</w:t>
      </w:r>
      <w:r w:rsidR="003550F9">
        <w:t xml:space="preserve"> </w:t>
      </w:r>
      <w:r>
        <w:t>cent of samples to be discarded due to short</w:t>
      </w:r>
      <w:r w:rsidR="003550F9">
        <w:t>-</w:t>
      </w:r>
      <w:r>
        <w:t>term pollution.</w:t>
      </w:r>
    </w:p>
    <w:p w:rsidR="005573B4" w:rsidRDefault="005573B4" w:rsidP="005573B4">
      <w:pPr>
        <w:pStyle w:val="Heading2"/>
      </w:pPr>
      <w:bookmarkStart w:id="53" w:name="_Toc482112360"/>
      <w:bookmarkStart w:id="54" w:name="_Toc479073477"/>
      <w:r>
        <w:t>United States of America</w:t>
      </w:r>
      <w:bookmarkEnd w:id="53"/>
    </w:p>
    <w:p w:rsidR="005573B4" w:rsidRDefault="005573B4" w:rsidP="005573B4">
      <w:pPr>
        <w:pStyle w:val="BodyText"/>
        <w:rPr>
          <w:lang w:eastAsia="en-US"/>
        </w:rPr>
      </w:pPr>
      <w:r>
        <w:rPr>
          <w:lang w:eastAsia="en-US"/>
        </w:rPr>
        <w:t xml:space="preserve">The United States Environmental Protection Agency (USEPA) publishes </w:t>
      </w:r>
      <w:r w:rsidRPr="000F237F">
        <w:rPr>
          <w:lang w:eastAsia="en-US"/>
        </w:rPr>
        <w:t>Water Quality Criteria</w:t>
      </w:r>
      <w:r>
        <w:rPr>
          <w:lang w:eastAsia="en-US"/>
        </w:rPr>
        <w:t xml:space="preserve"> recommendations. These only have a regulatory effect if individual states choose to adopt them. The Recreational Water Quality Criteria sets out recommended</w:t>
      </w:r>
      <w:r w:rsidRPr="009049D4">
        <w:rPr>
          <w:i/>
          <w:lang w:eastAsia="en-US"/>
        </w:rPr>
        <w:t xml:space="preserve"> E. coli</w:t>
      </w:r>
      <w:r>
        <w:rPr>
          <w:lang w:eastAsia="en-US"/>
        </w:rPr>
        <w:t xml:space="preserve"> concentrations to protect primary contact recreation</w:t>
      </w:r>
      <w:r w:rsidR="00AB2804">
        <w:rPr>
          <w:lang w:eastAsia="en-US"/>
        </w:rPr>
        <w:t xml:space="preserve"> (ie, activities like swimming that involve full immersion in water)</w:t>
      </w:r>
      <w:r>
        <w:rPr>
          <w:lang w:eastAsia="en-US"/>
        </w:rPr>
        <w:t xml:space="preserve">. These are shown in </w:t>
      </w:r>
      <w:r w:rsidR="003550F9">
        <w:rPr>
          <w:lang w:eastAsia="en-US"/>
        </w:rPr>
        <w:t xml:space="preserve">table </w:t>
      </w:r>
      <w:r w:rsidR="00E411CB">
        <w:rPr>
          <w:lang w:eastAsia="en-US"/>
        </w:rPr>
        <w:t>7</w:t>
      </w:r>
      <w:r>
        <w:rPr>
          <w:lang w:eastAsia="en-US"/>
        </w:rPr>
        <w:t>.</w:t>
      </w:r>
    </w:p>
    <w:p w:rsidR="005573B4" w:rsidRPr="00F65117" w:rsidRDefault="005573B4" w:rsidP="008A688D">
      <w:pPr>
        <w:pStyle w:val="Tableheading0"/>
        <w:ind w:left="993" w:hanging="993"/>
      </w:pPr>
      <w:r>
        <w:t xml:space="preserve">Table </w:t>
      </w:r>
      <w:r w:rsidR="00E411CB">
        <w:t>7</w:t>
      </w:r>
      <w:r w:rsidR="007841E5">
        <w:t>:</w:t>
      </w:r>
      <w:r w:rsidR="008A688D">
        <w:tab/>
      </w:r>
      <w:r>
        <w:t>USEPA Recreational Water Quality Criteria for</w:t>
      </w:r>
      <w:r w:rsidRPr="00DD4142">
        <w:t xml:space="preserve"> </w:t>
      </w:r>
      <w:r w:rsidRPr="00057AC1">
        <w:rPr>
          <w:i/>
        </w:rPr>
        <w:t>E. coli</w:t>
      </w:r>
      <w:r w:rsidR="002F4D55">
        <w:t xml:space="preserve"> (summarised)</w:t>
      </w:r>
    </w:p>
    <w:tbl>
      <w:tblPr>
        <w:tblStyle w:val="TableGrid"/>
        <w:tblW w:w="936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1696"/>
        <w:gridCol w:w="2552"/>
        <w:gridCol w:w="992"/>
        <w:gridCol w:w="1843"/>
        <w:gridCol w:w="2282"/>
      </w:tblGrid>
      <w:tr w:rsidR="00184C71" w:rsidRPr="006B77BB" w:rsidTr="00BC5F97">
        <w:trPr>
          <w:tblHeader/>
        </w:trPr>
        <w:tc>
          <w:tcPr>
            <w:tcW w:w="4248" w:type="dxa"/>
            <w:gridSpan w:val="2"/>
            <w:shd w:val="clear" w:color="auto" w:fill="1C556C"/>
          </w:tcPr>
          <w:p w:rsidR="00184C71" w:rsidRPr="00184C71" w:rsidRDefault="00184C71" w:rsidP="00184C71">
            <w:pPr>
              <w:pStyle w:val="TableTextbold"/>
              <w:rPr>
                <w:color w:val="FFFFFF" w:themeColor="background1"/>
              </w:rPr>
            </w:pPr>
            <w:r w:rsidRPr="00184C71">
              <w:rPr>
                <w:color w:val="FFFFFF" w:themeColor="background1"/>
              </w:rPr>
              <w:t xml:space="preserve">Estimated Illness Rate (NGI): </w:t>
            </w:r>
          </w:p>
          <w:p w:rsidR="00184C71" w:rsidRPr="006B77BB" w:rsidRDefault="00184C71" w:rsidP="00184C71">
            <w:pPr>
              <w:pStyle w:val="TableTextbold"/>
              <w:rPr>
                <w:color w:val="FFFFFF" w:themeColor="background1"/>
              </w:rPr>
            </w:pPr>
            <w:r w:rsidRPr="00184C71">
              <w:rPr>
                <w:color w:val="FFFFFF" w:themeColor="background1"/>
              </w:rPr>
              <w:t>36 per 1000 primary contact recreators</w:t>
            </w:r>
          </w:p>
        </w:tc>
        <w:tc>
          <w:tcPr>
            <w:tcW w:w="992" w:type="dxa"/>
            <w:shd w:val="clear" w:color="auto" w:fill="1C556C"/>
          </w:tcPr>
          <w:p w:rsidR="00184C71" w:rsidRPr="006B77BB" w:rsidRDefault="00184C71" w:rsidP="00F76B6B">
            <w:pPr>
              <w:pStyle w:val="TableTextbold"/>
              <w:rPr>
                <w:color w:val="FFFFFF" w:themeColor="background1"/>
              </w:rPr>
            </w:pPr>
          </w:p>
        </w:tc>
        <w:tc>
          <w:tcPr>
            <w:tcW w:w="4125" w:type="dxa"/>
            <w:gridSpan w:val="2"/>
            <w:shd w:val="clear" w:color="auto" w:fill="1C556C"/>
          </w:tcPr>
          <w:p w:rsidR="00184C71" w:rsidRPr="00184C71" w:rsidRDefault="00184C71" w:rsidP="00184C71">
            <w:pPr>
              <w:pStyle w:val="TableTextbold"/>
              <w:rPr>
                <w:color w:val="FFFFFF" w:themeColor="background1"/>
              </w:rPr>
            </w:pPr>
            <w:r w:rsidRPr="00184C71">
              <w:rPr>
                <w:color w:val="FFFFFF" w:themeColor="background1"/>
              </w:rPr>
              <w:t xml:space="preserve">Estimated Illness Rate (NGI): </w:t>
            </w:r>
          </w:p>
          <w:p w:rsidR="00184C71" w:rsidRPr="006B77BB" w:rsidRDefault="00184C71" w:rsidP="00184C71">
            <w:pPr>
              <w:pStyle w:val="TableTextbold"/>
              <w:rPr>
                <w:color w:val="FFFFFF" w:themeColor="background1"/>
              </w:rPr>
            </w:pPr>
            <w:r w:rsidRPr="00184C71">
              <w:rPr>
                <w:color w:val="FFFFFF" w:themeColor="background1"/>
              </w:rPr>
              <w:t>32 per 1000 primary</w:t>
            </w:r>
            <w:r w:rsidR="00385290">
              <w:rPr>
                <w:color w:val="FFFFFF" w:themeColor="background1"/>
              </w:rPr>
              <w:t xml:space="preserve"> </w:t>
            </w:r>
            <w:r w:rsidR="00385290" w:rsidRPr="00184C71">
              <w:rPr>
                <w:color w:val="FFFFFF" w:themeColor="background1"/>
              </w:rPr>
              <w:t>contact recreators</w:t>
            </w:r>
          </w:p>
        </w:tc>
      </w:tr>
      <w:tr w:rsidR="00184C71" w:rsidRPr="006B77BB" w:rsidTr="002D0E93">
        <w:tc>
          <w:tcPr>
            <w:tcW w:w="1696" w:type="dxa"/>
          </w:tcPr>
          <w:p w:rsidR="006D44F1" w:rsidRDefault="006D44F1" w:rsidP="006D44F1">
            <w:pPr>
              <w:pStyle w:val="TableText"/>
            </w:pPr>
            <w:r>
              <w:t>Geometric mean</w:t>
            </w:r>
          </w:p>
          <w:p w:rsidR="00184C71" w:rsidRPr="006B77BB" w:rsidRDefault="006D44F1" w:rsidP="006D44F1">
            <w:pPr>
              <w:pStyle w:val="TableText"/>
            </w:pPr>
            <w:r>
              <w:t>(cfu/100 mL)</w:t>
            </w:r>
          </w:p>
        </w:tc>
        <w:tc>
          <w:tcPr>
            <w:tcW w:w="2552" w:type="dxa"/>
          </w:tcPr>
          <w:p w:rsidR="006D44F1" w:rsidRDefault="006D44F1" w:rsidP="006D44F1">
            <w:pPr>
              <w:pStyle w:val="TableText"/>
            </w:pPr>
            <w:r>
              <w:t>Statistical threshold value</w:t>
            </w:r>
          </w:p>
          <w:p w:rsidR="00184C71" w:rsidRPr="006B77BB" w:rsidRDefault="006D44F1" w:rsidP="006D44F1">
            <w:pPr>
              <w:pStyle w:val="TableText"/>
            </w:pPr>
            <w:r>
              <w:t>(cfu/100 mL)</w:t>
            </w:r>
          </w:p>
        </w:tc>
        <w:tc>
          <w:tcPr>
            <w:tcW w:w="992" w:type="dxa"/>
            <w:vMerge w:val="restart"/>
            <w:vAlign w:val="center"/>
          </w:tcPr>
          <w:p w:rsidR="00184C71" w:rsidRPr="006B77BB" w:rsidRDefault="006D44F1" w:rsidP="002D0E93">
            <w:pPr>
              <w:pStyle w:val="TableText"/>
              <w:jc w:val="center"/>
            </w:pPr>
            <w:r>
              <w:t>OR</w:t>
            </w:r>
          </w:p>
        </w:tc>
        <w:tc>
          <w:tcPr>
            <w:tcW w:w="1843" w:type="dxa"/>
            <w:shd w:val="clear" w:color="auto" w:fill="auto"/>
          </w:tcPr>
          <w:p w:rsidR="006D44F1" w:rsidRDefault="006D44F1" w:rsidP="006D44F1">
            <w:pPr>
              <w:pStyle w:val="TableDash"/>
              <w:numPr>
                <w:ilvl w:val="0"/>
                <w:numId w:val="0"/>
              </w:numPr>
              <w:spacing w:before="0" w:after="60" w:line="240" w:lineRule="atLeast"/>
              <w:jc w:val="left"/>
            </w:pPr>
            <w:r>
              <w:t>Geometric mean</w:t>
            </w:r>
          </w:p>
          <w:p w:rsidR="00184C71" w:rsidRPr="006B77BB" w:rsidRDefault="006D44F1" w:rsidP="006D44F1">
            <w:pPr>
              <w:pStyle w:val="TableDash"/>
              <w:numPr>
                <w:ilvl w:val="0"/>
                <w:numId w:val="0"/>
              </w:numPr>
              <w:spacing w:before="0" w:after="60" w:line="240" w:lineRule="atLeast"/>
              <w:jc w:val="left"/>
            </w:pPr>
            <w:r>
              <w:t>(cfu/100 mL)</w:t>
            </w:r>
          </w:p>
        </w:tc>
        <w:tc>
          <w:tcPr>
            <w:tcW w:w="2282" w:type="dxa"/>
            <w:shd w:val="clear" w:color="auto" w:fill="auto"/>
          </w:tcPr>
          <w:p w:rsidR="00184C71" w:rsidRPr="006B77BB" w:rsidRDefault="00BC5F97" w:rsidP="002D0E93">
            <w:pPr>
              <w:pStyle w:val="TableText"/>
              <w:jc w:val="left"/>
            </w:pPr>
            <w:r>
              <w:t xml:space="preserve">Statistical threshold value </w:t>
            </w:r>
            <w:r w:rsidR="006D44F1">
              <w:t>(cfu/100 mL)</w:t>
            </w:r>
          </w:p>
        </w:tc>
      </w:tr>
      <w:tr w:rsidR="00184C71" w:rsidRPr="006B77BB" w:rsidTr="00BC5F97">
        <w:tc>
          <w:tcPr>
            <w:tcW w:w="1696" w:type="dxa"/>
          </w:tcPr>
          <w:p w:rsidR="00184C71" w:rsidRPr="006B77BB" w:rsidRDefault="006D44F1" w:rsidP="00F76B6B">
            <w:pPr>
              <w:pStyle w:val="TableText"/>
            </w:pPr>
            <w:r>
              <w:t>126</w:t>
            </w:r>
          </w:p>
        </w:tc>
        <w:tc>
          <w:tcPr>
            <w:tcW w:w="2552" w:type="dxa"/>
          </w:tcPr>
          <w:p w:rsidR="00184C71" w:rsidRPr="006B77BB" w:rsidRDefault="006D44F1" w:rsidP="00F76B6B">
            <w:pPr>
              <w:pStyle w:val="TableText"/>
            </w:pPr>
            <w:r>
              <w:t>410</w:t>
            </w:r>
          </w:p>
        </w:tc>
        <w:tc>
          <w:tcPr>
            <w:tcW w:w="992" w:type="dxa"/>
            <w:vMerge/>
          </w:tcPr>
          <w:p w:rsidR="00184C71" w:rsidRPr="006B77BB" w:rsidRDefault="00184C71" w:rsidP="00F76B6B">
            <w:pPr>
              <w:pStyle w:val="TableText"/>
            </w:pPr>
          </w:p>
        </w:tc>
        <w:tc>
          <w:tcPr>
            <w:tcW w:w="1843" w:type="dxa"/>
            <w:shd w:val="clear" w:color="auto" w:fill="auto"/>
          </w:tcPr>
          <w:p w:rsidR="00184C71" w:rsidRPr="006B77BB" w:rsidRDefault="006D44F1" w:rsidP="00F76B6B">
            <w:pPr>
              <w:pStyle w:val="TableText"/>
            </w:pPr>
            <w:r>
              <w:t>100</w:t>
            </w:r>
          </w:p>
        </w:tc>
        <w:tc>
          <w:tcPr>
            <w:tcW w:w="2282" w:type="dxa"/>
            <w:shd w:val="clear" w:color="auto" w:fill="auto"/>
          </w:tcPr>
          <w:p w:rsidR="00184C71" w:rsidRPr="006B77BB" w:rsidRDefault="006D44F1" w:rsidP="00F76B6B">
            <w:pPr>
              <w:pStyle w:val="TableText"/>
            </w:pPr>
            <w:r>
              <w:t>320</w:t>
            </w:r>
          </w:p>
        </w:tc>
      </w:tr>
      <w:tr w:rsidR="007E46A6" w:rsidRPr="006B77BB" w:rsidTr="006C6861">
        <w:tc>
          <w:tcPr>
            <w:tcW w:w="9365" w:type="dxa"/>
            <w:gridSpan w:val="5"/>
          </w:tcPr>
          <w:p w:rsidR="007E46A6" w:rsidRDefault="007E46A6" w:rsidP="009F5A91">
            <w:pPr>
              <w:pStyle w:val="TableText"/>
            </w:pPr>
            <w:r>
              <w:t xml:space="preserve">Duration and Frequency: The </w:t>
            </w:r>
            <w:r w:rsidR="0021173B">
              <w:t>geometric mean</w:t>
            </w:r>
            <w:r>
              <w:t xml:space="preserve"> should </w:t>
            </w:r>
            <w:r w:rsidR="0030008A">
              <w:t xml:space="preserve">not </w:t>
            </w:r>
            <w:r w:rsidR="002F4D55">
              <w:t>exceed 126 or 100</w:t>
            </w:r>
            <w:r>
              <w:t xml:space="preserve"> in any 30-day interval. </w:t>
            </w:r>
            <w:r w:rsidR="002F4D55">
              <w:t>The statistical threshold value should not be exceeded more that 10% of the time</w:t>
            </w:r>
            <w:r w:rsidR="006C2DCD">
              <w:t xml:space="preserve"> in the same 30-day interval (</w:t>
            </w:r>
            <w:r w:rsidR="009F5A91">
              <w:t>with samples collected at least weekly).</w:t>
            </w:r>
          </w:p>
        </w:tc>
      </w:tr>
    </w:tbl>
    <w:p w:rsidR="005573B4" w:rsidRDefault="005573B4" w:rsidP="005573B4">
      <w:pPr>
        <w:pStyle w:val="BodyText"/>
        <w:rPr>
          <w:lang w:eastAsia="en-US"/>
        </w:rPr>
      </w:pPr>
      <w:r>
        <w:rPr>
          <w:lang w:eastAsia="en-US"/>
        </w:rPr>
        <w:t xml:space="preserve">These criteria are based on an estimated illness rate. </w:t>
      </w:r>
      <w:r>
        <w:t xml:space="preserve">Illness in the </w:t>
      </w:r>
      <w:r w:rsidR="00494446">
        <w:t xml:space="preserve">US </w:t>
      </w:r>
      <w:r>
        <w:t xml:space="preserve">means </w:t>
      </w:r>
      <w:r w:rsidRPr="00B33B1E">
        <w:t>broad gastro intestinal illness (</w:t>
      </w:r>
      <w:r w:rsidR="00E05534">
        <w:t>ie,</w:t>
      </w:r>
      <w:r w:rsidRPr="00B33B1E">
        <w:t xml:space="preserve"> whether a person presents with symptoms of being ill such as diarrhoea, vomiting, nausea and stomach ache; within </w:t>
      </w:r>
      <w:r w:rsidR="003A5D85">
        <w:t>10</w:t>
      </w:r>
      <w:r w:rsidR="003A5D85" w:rsidRPr="00B33B1E">
        <w:t xml:space="preserve"> </w:t>
      </w:r>
      <w:r w:rsidRPr="00B33B1E">
        <w:t xml:space="preserve">to </w:t>
      </w:r>
      <w:r w:rsidR="003A5D85">
        <w:t>12</w:t>
      </w:r>
      <w:r w:rsidR="003A5D85" w:rsidRPr="00B33B1E">
        <w:t xml:space="preserve"> </w:t>
      </w:r>
      <w:r w:rsidRPr="00B33B1E">
        <w:t>days after swimming).</w:t>
      </w:r>
      <w:r>
        <w:t xml:space="preserve"> </w:t>
      </w:r>
    </w:p>
    <w:p w:rsidR="005573B4" w:rsidRDefault="005573B4" w:rsidP="005573B4">
      <w:pPr>
        <w:pStyle w:val="BodyText"/>
        <w:rPr>
          <w:lang w:eastAsia="en-US"/>
        </w:rPr>
      </w:pPr>
      <w:r>
        <w:rPr>
          <w:lang w:eastAsia="en-US"/>
        </w:rPr>
        <w:t>The US</w:t>
      </w:r>
      <w:r w:rsidRPr="00AE0BFC">
        <w:rPr>
          <w:lang w:eastAsia="en-US"/>
        </w:rPr>
        <w:t>EPA recommends that</w:t>
      </w:r>
      <w:r>
        <w:rPr>
          <w:lang w:eastAsia="en-US"/>
        </w:rPr>
        <w:t xml:space="preserve"> individual</w:t>
      </w:r>
      <w:r w:rsidRPr="00AE0BFC">
        <w:rPr>
          <w:lang w:eastAsia="en-US"/>
        </w:rPr>
        <w:t xml:space="preserve"> states make a </w:t>
      </w:r>
      <w:r>
        <w:rPr>
          <w:lang w:eastAsia="en-US"/>
        </w:rPr>
        <w:t xml:space="preserve">risk management </w:t>
      </w:r>
      <w:r w:rsidRPr="00AE0BFC">
        <w:rPr>
          <w:lang w:eastAsia="en-US"/>
        </w:rPr>
        <w:t xml:space="preserve">decision regarding illness rate to determine which set of criteria values </w:t>
      </w:r>
      <w:r w:rsidR="00494446">
        <w:rPr>
          <w:lang w:eastAsia="en-US"/>
        </w:rPr>
        <w:t>from Table 7</w:t>
      </w:r>
      <w:r>
        <w:rPr>
          <w:lang w:eastAsia="en-US"/>
        </w:rPr>
        <w:t xml:space="preserve"> to adopt into their water quality standards</w:t>
      </w:r>
      <w:r w:rsidRPr="00AE0BFC">
        <w:rPr>
          <w:lang w:eastAsia="en-US"/>
        </w:rPr>
        <w:t>.</w:t>
      </w:r>
      <w:r>
        <w:rPr>
          <w:lang w:eastAsia="en-US"/>
        </w:rPr>
        <w:t xml:space="preserve"> There is also a choice about whether to use</w:t>
      </w:r>
      <w:r w:rsidRPr="009049D4">
        <w:rPr>
          <w:i/>
          <w:lang w:eastAsia="en-US"/>
        </w:rPr>
        <w:t xml:space="preserve"> E. coli</w:t>
      </w:r>
      <w:r>
        <w:rPr>
          <w:lang w:eastAsia="en-US"/>
        </w:rPr>
        <w:t xml:space="preserve"> or </w:t>
      </w:r>
      <w:r w:rsidR="003A5D85">
        <w:rPr>
          <w:lang w:eastAsia="en-US"/>
        </w:rPr>
        <w:t xml:space="preserve">enterococci </w:t>
      </w:r>
      <w:r>
        <w:rPr>
          <w:lang w:eastAsia="en-US"/>
        </w:rPr>
        <w:t>in fresh water.</w:t>
      </w:r>
    </w:p>
    <w:bookmarkEnd w:id="54"/>
    <w:p w:rsidR="00F663A4" w:rsidRDefault="00F663A4" w:rsidP="00F663A4">
      <w:pPr>
        <w:pStyle w:val="BodyText"/>
      </w:pPr>
      <w:r>
        <w:t xml:space="preserve">The </w:t>
      </w:r>
      <w:r>
        <w:rPr>
          <w:lang w:eastAsia="en-US"/>
        </w:rPr>
        <w:t>US</w:t>
      </w:r>
      <w:r w:rsidRPr="00AE0BFC">
        <w:rPr>
          <w:lang w:eastAsia="en-US"/>
        </w:rPr>
        <w:t xml:space="preserve">EPA </w:t>
      </w:r>
      <w:r>
        <w:rPr>
          <w:lang w:eastAsia="en-US"/>
        </w:rPr>
        <w:t>grades are calculated over a 30 day period. Weekly monitoring is recommended</w:t>
      </w:r>
      <w:r w:rsidR="005546E6">
        <w:rPr>
          <w:lang w:eastAsia="en-US"/>
        </w:rPr>
        <w:t xml:space="preserve">, so the grade is </w:t>
      </w:r>
      <w:r w:rsidR="00893558">
        <w:rPr>
          <w:lang w:eastAsia="en-US"/>
        </w:rPr>
        <w:t xml:space="preserve">generally </w:t>
      </w:r>
      <w:r w:rsidR="005546E6">
        <w:rPr>
          <w:lang w:eastAsia="en-US"/>
        </w:rPr>
        <w:t xml:space="preserve">based on the latest </w:t>
      </w:r>
      <w:r w:rsidR="003A5D85">
        <w:rPr>
          <w:lang w:eastAsia="en-US"/>
        </w:rPr>
        <w:t xml:space="preserve">four </w:t>
      </w:r>
      <w:r w:rsidR="005546E6">
        <w:rPr>
          <w:lang w:eastAsia="en-US"/>
        </w:rPr>
        <w:t>measurements at a site</w:t>
      </w:r>
      <w:r>
        <w:t>.</w:t>
      </w:r>
      <w:r w:rsidR="00BF34B9">
        <w:t xml:space="preserve"> </w:t>
      </w:r>
      <w:r w:rsidR="0021173B">
        <w:t>The grades apply to</w:t>
      </w:r>
      <w:r w:rsidR="0030008A">
        <w:t xml:space="preserve"> all </w:t>
      </w:r>
      <w:r w:rsidR="0021173B">
        <w:t>c</w:t>
      </w:r>
      <w:r w:rsidR="00BF34B9">
        <w:t>oastal beaches and the Great Lakes</w:t>
      </w:r>
      <w:r w:rsidR="0021173B">
        <w:t xml:space="preserve">, but sampling of rivers is optional. </w:t>
      </w:r>
    </w:p>
    <w:p w:rsidR="00611E4D" w:rsidRDefault="00611E4D">
      <w:pPr>
        <w:spacing w:before="0" w:after="0" w:line="240" w:lineRule="auto"/>
        <w:jc w:val="left"/>
      </w:pPr>
      <w:r>
        <w:br w:type="page"/>
      </w:r>
    </w:p>
    <w:p w:rsidR="00611E4D" w:rsidRPr="006B77BB" w:rsidRDefault="00611E4D" w:rsidP="00611E4D">
      <w:pPr>
        <w:pStyle w:val="Heading1"/>
        <w:tabs>
          <w:tab w:val="clear" w:pos="851"/>
        </w:tabs>
      </w:pPr>
      <w:bookmarkStart w:id="55" w:name="_Toc455564074"/>
      <w:bookmarkStart w:id="56" w:name="_Toc482112361"/>
      <w:r w:rsidRPr="006B77BB">
        <w:lastRenderedPageBreak/>
        <w:t>References</w:t>
      </w:r>
      <w:bookmarkEnd w:id="55"/>
      <w:bookmarkEnd w:id="56"/>
    </w:p>
    <w:p w:rsidR="00F67FBE" w:rsidRDefault="00F67FBE" w:rsidP="00611E4D">
      <w:pPr>
        <w:pStyle w:val="EndnoteText"/>
        <w:jc w:val="left"/>
      </w:pPr>
    </w:p>
    <w:p w:rsidR="00F67FBE" w:rsidRDefault="00F67FBE" w:rsidP="00F65117">
      <w:pPr>
        <w:pStyle w:val="EndnoteText"/>
        <w:spacing w:after="120"/>
        <w:jc w:val="left"/>
      </w:pPr>
      <w:r>
        <w:t xml:space="preserve">McBride, G.B.; Till, D.; Ryan, T.; Ball, A. Lewis, G.; Palmer, S.; Weinstein, P. 2002. </w:t>
      </w:r>
      <w:r w:rsidRPr="00F65117">
        <w:rPr>
          <w:i/>
        </w:rPr>
        <w:t>Freshwater Microbiology Research Programme. Pathogen Occurrence and Human Health Risk Assessment Analysis.</w:t>
      </w:r>
      <w:r>
        <w:t xml:space="preserve"> Ministry for the Environment Technical Publication</w:t>
      </w:r>
    </w:p>
    <w:p w:rsidR="00611E4D" w:rsidRDefault="00423F22" w:rsidP="00611E4D">
      <w:pPr>
        <w:pStyle w:val="EndnoteText"/>
        <w:jc w:val="left"/>
      </w:pPr>
      <w:r>
        <w:t xml:space="preserve">Snelder T, </w:t>
      </w:r>
      <w:r w:rsidR="00611E4D">
        <w:t xml:space="preserve">Atalah J, Wood S. 2016. </w:t>
      </w:r>
      <w:r w:rsidR="00611E4D" w:rsidRPr="00D624E9">
        <w:rPr>
          <w:i/>
        </w:rPr>
        <w:t xml:space="preserve">Strategic assessment of New Zealand’s freshwaters for recreational use: a human health perspective (Escherichia coli in rivers and planktonic cyanobacteria in lakes). </w:t>
      </w:r>
      <w:r w:rsidR="00611E4D" w:rsidRPr="00623C73">
        <w:t>Prepared for the</w:t>
      </w:r>
      <w:r w:rsidR="00611E4D">
        <w:t xml:space="preserve"> Ministry for the Environment.</w:t>
      </w:r>
    </w:p>
    <w:p w:rsidR="00611E4D" w:rsidRDefault="00611E4D" w:rsidP="00611E4D">
      <w:pPr>
        <w:pStyle w:val="EndnoteText"/>
        <w:spacing w:before="120" w:after="120"/>
        <w:jc w:val="left"/>
      </w:pPr>
      <w:r>
        <w:t xml:space="preserve">McBride G. 2012. </w:t>
      </w:r>
      <w:r w:rsidRPr="00CA2E66">
        <w:rPr>
          <w:i/>
        </w:rPr>
        <w:t>Issues in setting secondary contact recreation guidelines for New Zealand freshwaters (E.</w:t>
      </w:r>
      <w:r>
        <w:rPr>
          <w:i/>
        </w:rPr>
        <w:t xml:space="preserve"> </w:t>
      </w:r>
      <w:r w:rsidRPr="00CA2E66">
        <w:rPr>
          <w:i/>
        </w:rPr>
        <w:t>Coli)</w:t>
      </w:r>
      <w:r>
        <w:t xml:space="preserve">. </w:t>
      </w:r>
      <w:r w:rsidRPr="00623C73">
        <w:t>Prepared for the</w:t>
      </w:r>
      <w:r>
        <w:t xml:space="preserve"> Ministry for the Environment.</w:t>
      </w:r>
    </w:p>
    <w:p w:rsidR="007F43BA" w:rsidRDefault="007F43BA" w:rsidP="007F43BA">
      <w:pPr>
        <w:spacing w:before="0" w:after="0" w:line="240" w:lineRule="auto"/>
        <w:jc w:val="left"/>
      </w:pPr>
    </w:p>
    <w:sectPr w:rsidR="007F43BA">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11" w:rsidRDefault="00556111" w:rsidP="00996892">
      <w:pPr>
        <w:spacing w:before="0" w:after="0" w:line="240" w:lineRule="auto"/>
      </w:pPr>
      <w:r>
        <w:separator/>
      </w:r>
    </w:p>
  </w:endnote>
  <w:endnote w:type="continuationSeparator" w:id="0">
    <w:p w:rsidR="00556111" w:rsidRDefault="00556111" w:rsidP="009968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rsidP="007401A0">
    <w:pPr>
      <w:spacing w:before="0" w:after="0" w:line="240" w:lineRule="auto"/>
      <w:ind w:left="-57"/>
      <w:jc w:val="left"/>
    </w:pPr>
    <w:r>
      <w:rPr>
        <w:noProof/>
      </w:rPr>
      <w:drawing>
        <wp:inline distT="0" distB="0" distL="0" distR="0" wp14:anchorId="14406611" wp14:editId="0598523A">
          <wp:extent cx="2498785" cy="535459"/>
          <wp:effectExtent l="0" t="0" r="0" b="0"/>
          <wp:docPr id="8" name="Picture 8"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NZ_Gov"/>
                  <pic:cNvPicPr>
                    <a:picLocks noChangeAspect="1" noChangeArrowheads="1"/>
                  </pic:cNvPicPr>
                </pic:nvPicPr>
                <pic:blipFill rotWithShape="1">
                  <a:blip r:embed="rId1">
                    <a:extLst>
                      <a:ext uri="{28A0092B-C50C-407E-A947-70E740481C1C}">
                        <a14:useLocalDpi xmlns:a14="http://schemas.microsoft.com/office/drawing/2010/main" val="0"/>
                      </a:ext>
                    </a:extLst>
                  </a:blip>
                  <a:srcRect l="6376" b="21339"/>
                  <a:stretch/>
                </pic:blipFill>
                <pic:spPr bwMode="auto">
                  <a:xfrm>
                    <a:off x="0" y="0"/>
                    <a:ext cx="2501116" cy="53595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rsidP="007401A0">
    <w:pPr>
      <w:spacing w:before="24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70610"/>
      <w:docPartObj>
        <w:docPartGallery w:val="Page Numbers (Bottom of Page)"/>
        <w:docPartUnique/>
      </w:docPartObj>
    </w:sdtPr>
    <w:sdtEndPr>
      <w:rPr>
        <w:sz w:val="16"/>
      </w:rPr>
    </w:sdtEndPr>
    <w:sdtContent>
      <w:p w:rsidR="00556111" w:rsidRPr="000F4017" w:rsidRDefault="00556111">
        <w:pPr>
          <w:pStyle w:val="Footer"/>
          <w:jc w:val="right"/>
          <w:rPr>
            <w:sz w:val="16"/>
          </w:rPr>
        </w:pPr>
        <w:r w:rsidRPr="000F4017">
          <w:rPr>
            <w:sz w:val="16"/>
          </w:rPr>
          <w:fldChar w:fldCharType="begin"/>
        </w:r>
        <w:r w:rsidRPr="000F4017">
          <w:rPr>
            <w:sz w:val="16"/>
          </w:rPr>
          <w:instrText xml:space="preserve"> PAGE   \* MERGEFORMAT </w:instrText>
        </w:r>
        <w:r w:rsidRPr="000F4017">
          <w:rPr>
            <w:sz w:val="16"/>
          </w:rPr>
          <w:fldChar w:fldCharType="separate"/>
        </w:r>
        <w:r w:rsidR="00807AFA">
          <w:rPr>
            <w:noProof/>
            <w:sz w:val="16"/>
          </w:rPr>
          <w:t>14</w:t>
        </w:r>
        <w:r w:rsidRPr="000F4017">
          <w:rPr>
            <w:sz w:val="16"/>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11" w:rsidRDefault="00556111" w:rsidP="00996892">
      <w:pPr>
        <w:spacing w:before="0" w:after="0" w:line="240" w:lineRule="auto"/>
      </w:pPr>
      <w:r>
        <w:separator/>
      </w:r>
    </w:p>
  </w:footnote>
  <w:footnote w:type="continuationSeparator" w:id="0">
    <w:p w:rsidR="00556111" w:rsidRDefault="00556111" w:rsidP="00996892">
      <w:pPr>
        <w:spacing w:before="0" w:after="0" w:line="240" w:lineRule="auto"/>
      </w:pPr>
      <w:r>
        <w:continuationSeparator/>
      </w:r>
    </w:p>
  </w:footnote>
  <w:footnote w:id="1">
    <w:p w:rsidR="00556111" w:rsidRPr="00E05534" w:rsidRDefault="00556111" w:rsidP="00041924">
      <w:pPr>
        <w:pStyle w:val="FootnoteText"/>
        <w:spacing w:after="40"/>
      </w:pPr>
      <w:r>
        <w:rPr>
          <w:rStyle w:val="FootnoteReference"/>
        </w:rPr>
        <w:footnoteRef/>
      </w:r>
      <w:r>
        <w:t xml:space="preserve"> Based on analysis by Dr Jo</w:t>
      </w:r>
      <w:r w:rsidRPr="00B53D3B">
        <w:t>n</w:t>
      </w:r>
      <w:r>
        <w:t>athan</w:t>
      </w:r>
      <w:r w:rsidRPr="00B53D3B">
        <w:t xml:space="preserve"> Marshall </w:t>
      </w:r>
      <w:r>
        <w:t xml:space="preserve">of Massey University, available on </w:t>
      </w:r>
      <w:hyperlink r:id="rId1" w:history="1">
        <w:r w:rsidRPr="00E05534">
          <w:rPr>
            <w:rStyle w:val="Hyperlink"/>
          </w:rPr>
          <w:t>github.com</w:t>
        </w:r>
      </w:hyperlink>
      <w:r w:rsidRPr="00E05534">
        <w:rPr>
          <w:rStyle w:val="Hyperlink"/>
          <w:color w:val="auto"/>
        </w:rPr>
        <w:t>.</w:t>
      </w:r>
    </w:p>
  </w:footnote>
  <w:footnote w:id="2">
    <w:p w:rsidR="00556111" w:rsidRDefault="00556111" w:rsidP="00041924">
      <w:pPr>
        <w:pStyle w:val="FootnoteText"/>
        <w:spacing w:after="40"/>
      </w:pPr>
      <w:r>
        <w:rPr>
          <w:rStyle w:val="FootnoteReference"/>
        </w:rPr>
        <w:footnoteRef/>
      </w:r>
      <w:r>
        <w:t xml:space="preserve"> Based on analysis by Dr Graham McBride of NIWA and Jeff Solller of Soller Environmental, available on the NIWA website </w:t>
      </w:r>
      <w:hyperlink r:id="rId2" w:history="1">
        <w:r w:rsidRPr="00A948CA">
          <w:rPr>
            <w:rStyle w:val="Hyperlink"/>
          </w:rPr>
          <w:t>https://www.niwa.co.nz/</w:t>
        </w:r>
      </w:hyperlink>
      <w:r>
        <w:t xml:space="preserve"> </w:t>
      </w:r>
    </w:p>
  </w:footnote>
  <w:footnote w:id="3">
    <w:p w:rsidR="00556111" w:rsidRDefault="00556111" w:rsidP="00041924">
      <w:pPr>
        <w:pStyle w:val="FootnoteText"/>
        <w:spacing w:after="40"/>
      </w:pPr>
      <w:r>
        <w:rPr>
          <w:rStyle w:val="FootnoteReference"/>
        </w:rPr>
        <w:footnoteRef/>
      </w:r>
      <w:r>
        <w:t xml:space="preserve"> Based on analysis by the Ministry for the Environment.</w:t>
      </w:r>
    </w:p>
  </w:footnote>
  <w:footnote w:id="4">
    <w:p w:rsidR="00556111" w:rsidRDefault="00556111" w:rsidP="00041924">
      <w:pPr>
        <w:pStyle w:val="FootnoteText"/>
        <w:spacing w:after="40"/>
      </w:pPr>
      <w:r>
        <w:rPr>
          <w:rStyle w:val="FootnoteReference"/>
        </w:rPr>
        <w:footnoteRef/>
      </w:r>
      <w:r>
        <w:t xml:space="preserve"> This is the level of risk if people follow the category advice and avoid swimming during high flows (determined as three times normal flows) based on analysis by the Ministry for the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Pr="00DE7BF8" w:rsidRDefault="00556111" w:rsidP="007401A0">
    <w:pPr>
      <w:pStyle w:val="Header"/>
      <w:ind w:left="-57"/>
      <w:jc w:val="left"/>
    </w:pPr>
    <w:r>
      <w:rPr>
        <w:noProof/>
      </w:rPr>
      <w:drawing>
        <wp:inline distT="0" distB="0" distL="0" distR="0" wp14:anchorId="60114372" wp14:editId="11556640">
          <wp:extent cx="2163600" cy="57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E logo CMYK JPEG.JPG"/>
                  <pic:cNvPicPr/>
                </pic:nvPicPr>
                <pic:blipFill rotWithShape="1">
                  <a:blip r:embed="rId1" cstate="print">
                    <a:extLst>
                      <a:ext uri="{28A0092B-C50C-407E-A947-70E740481C1C}">
                        <a14:useLocalDpi xmlns:a14="http://schemas.microsoft.com/office/drawing/2010/main" val="0"/>
                      </a:ext>
                    </a:extLst>
                  </a:blip>
                  <a:srcRect l="3898" t="9837" b="8997"/>
                  <a:stretch/>
                </pic:blipFill>
                <pic:spPr bwMode="auto">
                  <a:xfrm>
                    <a:off x="0" y="0"/>
                    <a:ext cx="2163600" cy="57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rsidP="007401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11" w:rsidRDefault="00556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004"/>
    <w:multiLevelType w:val="hybridMultilevel"/>
    <w:tmpl w:val="9CC4A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B6D11B5"/>
    <w:multiLevelType w:val="hybridMultilevel"/>
    <w:tmpl w:val="DECE3CCC"/>
    <w:lvl w:ilvl="0" w:tplc="14090001">
      <w:start w:val="1"/>
      <w:numFmt w:val="bullet"/>
      <w:lvlText w:val=""/>
      <w:lvlJc w:val="left"/>
      <w:pPr>
        <w:ind w:left="720" w:hanging="360"/>
      </w:pPr>
      <w:rPr>
        <w:rFonts w:ascii="Symbol" w:hAnsi="Symbol" w:hint="default"/>
        <w:sz w:val="18"/>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0FFA21F9"/>
    <w:multiLevelType w:val="hybridMultilevel"/>
    <w:tmpl w:val="292E23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AC77454"/>
    <w:multiLevelType w:val="hybridMultilevel"/>
    <w:tmpl w:val="E9E0DEDA"/>
    <w:lvl w:ilvl="0" w:tplc="D1F8B5AA">
      <w:start w:val="1"/>
      <w:numFmt w:val="decimal"/>
      <w:pStyle w:val="Note1"/>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050AE9"/>
    <w:multiLevelType w:val="hybridMultilevel"/>
    <w:tmpl w:val="6F46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nsid w:val="20BE562F"/>
    <w:multiLevelType w:val="hybridMultilevel"/>
    <w:tmpl w:val="09160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7C3E32"/>
    <w:multiLevelType w:val="hybridMultilevel"/>
    <w:tmpl w:val="5A723E16"/>
    <w:lvl w:ilvl="0" w:tplc="46C20F7A">
      <w:start w:val="1"/>
      <w:numFmt w:val="bullet"/>
      <w:pStyle w:val="Note2"/>
      <w:lvlText w:val="*"/>
      <w:lvlJc w:val="left"/>
      <w:pPr>
        <w:ind w:left="397" w:hanging="397"/>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FD2D76"/>
    <w:multiLevelType w:val="hybridMultilevel"/>
    <w:tmpl w:val="946EB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7015969"/>
    <w:multiLevelType w:val="hybridMultilevel"/>
    <w:tmpl w:val="BF2C99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7186411"/>
    <w:multiLevelType w:val="hybridMultilevel"/>
    <w:tmpl w:val="7396D3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A02138C"/>
    <w:multiLevelType w:val="hybridMultilevel"/>
    <w:tmpl w:val="0A547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D9D7402"/>
    <w:multiLevelType w:val="hybridMultilevel"/>
    <w:tmpl w:val="EB689CCC"/>
    <w:lvl w:ilvl="0" w:tplc="E8CC79EC">
      <w:start w:val="1"/>
      <w:numFmt w:val="bullet"/>
      <w:pStyle w:val="BoxBullet"/>
      <w:lvlText w:val="•"/>
      <w:lvlJc w:val="left"/>
      <w:pPr>
        <w:ind w:left="397" w:hanging="397"/>
      </w:pPr>
      <w:rPr>
        <w:rFonts w:asciiTheme="minorHAnsi" w:hAnsiTheme="minorHAnsi" w:hint="default"/>
      </w:rPr>
    </w:lvl>
    <w:lvl w:ilvl="1" w:tplc="07B06F7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8C0C1E"/>
    <w:multiLevelType w:val="multilevel"/>
    <w:tmpl w:val="07EC6CA6"/>
    <w:lvl w:ilvl="0">
      <w:start w:val="1"/>
      <w:numFmt w:val="bullet"/>
      <w:pStyle w:val="ListBullet"/>
      <w:lvlText w:val="•"/>
      <w:lvlJc w:val="left"/>
      <w:pPr>
        <w:ind w:left="397" w:hanging="397"/>
      </w:pPr>
      <w:rPr>
        <w:rFonts w:ascii="Calibri" w:hAnsi="Calibri" w:hint="default"/>
        <w:sz w:val="20"/>
      </w:rPr>
    </w:lvl>
    <w:lvl w:ilvl="1">
      <w:start w:val="1"/>
      <w:numFmt w:val="bullet"/>
      <w:pStyle w:val="ListBullet2"/>
      <w:lvlText w:val="–"/>
      <w:lvlJc w:val="left"/>
      <w:pPr>
        <w:ind w:left="794" w:hanging="397"/>
      </w:pPr>
      <w:rPr>
        <w:rFonts w:ascii="Calibri" w:hAnsi="Calibri" w:hint="default"/>
      </w:rPr>
    </w:lvl>
    <w:lvl w:ilvl="2">
      <w:start w:val="1"/>
      <w:numFmt w:val="lowerLetter"/>
      <w:lvlText w:val="%3."/>
      <w:lvlJc w:val="left"/>
      <w:pPr>
        <w:ind w:left="1191" w:hanging="397"/>
      </w:pPr>
      <w:rPr>
        <w:rFonts w:hint="default"/>
      </w:rPr>
    </w:lvl>
    <w:lvl w:ilvl="3">
      <w:start w:val="1"/>
      <w:numFmt w:val="lowerRoman"/>
      <w:lvlText w:val="%4."/>
      <w:lvlJc w:val="left"/>
      <w:pPr>
        <w:ind w:left="1588" w:hanging="397"/>
      </w:pPr>
      <w:rPr>
        <w:rFonts w:hint="default"/>
      </w:rPr>
    </w:lvl>
    <w:lvl w:ilvl="4">
      <w:start w:val="1"/>
      <w:numFmt w:val="bullet"/>
      <w:lvlText w:val="•"/>
      <w:lvlJc w:val="left"/>
      <w:pPr>
        <w:ind w:left="1985" w:hanging="397"/>
      </w:pPr>
      <w:rPr>
        <w:rFonts w:ascii="Calibri" w:hAnsi="Calibri" w:hint="default"/>
        <w:sz w:val="20"/>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4">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440B17DC"/>
    <w:multiLevelType w:val="multilevel"/>
    <w:tmpl w:val="CFD6D13E"/>
    <w:lvl w:ilvl="0">
      <w:start w:val="1"/>
      <w:numFmt w:val="bullet"/>
      <w:pStyle w:val="TableBullet"/>
      <w:lvlText w:val=""/>
      <w:lvlJc w:val="left"/>
      <w:pPr>
        <w:tabs>
          <w:tab w:val="num" w:pos="284"/>
        </w:tabs>
        <w:ind w:left="284" w:hanging="284"/>
      </w:pPr>
      <w:rPr>
        <w:rFonts w:ascii="Symbol" w:hAnsi="Symbol" w:hint="default"/>
        <w:sz w:val="16"/>
        <w:szCs w:val="16"/>
      </w:rPr>
    </w:lvl>
    <w:lvl w:ilvl="1">
      <w:start w:val="1"/>
      <w:numFmt w:val="bullet"/>
      <w:pStyle w:val="TableDash"/>
      <w:lvlText w:val="–"/>
      <w:lvlJc w:val="left"/>
      <w:pPr>
        <w:tabs>
          <w:tab w:val="num" w:pos="567"/>
        </w:tabs>
        <w:ind w:left="568" w:hanging="284"/>
      </w:pPr>
      <w:rPr>
        <w:rFonts w:ascii="Calibri" w:hAnsi="Calibri"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Wingdings" w:hAnsi="Wingdings" w:hint="default"/>
      </w:rPr>
    </w:lvl>
    <w:lvl w:ilvl="5">
      <w:start w:val="1"/>
      <w:numFmt w:val="bullet"/>
      <w:lvlText w:val="-"/>
      <w:lvlJc w:val="left"/>
      <w:pPr>
        <w:tabs>
          <w:tab w:val="num" w:pos="1701"/>
        </w:tabs>
        <w:ind w:left="1701" w:hanging="281"/>
      </w:pPr>
      <w:rPr>
        <w:rFonts w:ascii="Calibri" w:hAnsi="Calibri"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Calibri" w:hAnsi="Calibri" w:hint="default"/>
      </w:rPr>
    </w:lvl>
    <w:lvl w:ilvl="8">
      <w:start w:val="1"/>
      <w:numFmt w:val="bullet"/>
      <w:lvlText w:val=""/>
      <w:lvlJc w:val="left"/>
      <w:pPr>
        <w:tabs>
          <w:tab w:val="num" w:pos="2552"/>
        </w:tabs>
        <w:ind w:left="2552" w:hanging="284"/>
      </w:pPr>
      <w:rPr>
        <w:rFonts w:ascii="Wingdings" w:hAnsi="Wingdings" w:hint="default"/>
      </w:rPr>
    </w:lvl>
  </w:abstractNum>
  <w:abstractNum w:abstractNumId="16">
    <w:nsid w:val="47315A03"/>
    <w:multiLevelType w:val="hybridMultilevel"/>
    <w:tmpl w:val="FA345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AC2422F"/>
    <w:multiLevelType w:val="hybridMultilevel"/>
    <w:tmpl w:val="A9A47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ACA7EA6"/>
    <w:multiLevelType w:val="hybridMultilevel"/>
    <w:tmpl w:val="FA6CC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46D6679"/>
    <w:multiLevelType w:val="hybridMultilevel"/>
    <w:tmpl w:val="FA36A3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7B02F9"/>
    <w:multiLevelType w:val="hybridMultilevel"/>
    <w:tmpl w:val="64AA638E"/>
    <w:lvl w:ilvl="0" w:tplc="26BA2960">
      <w:start w:val="1"/>
      <w:numFmt w:val="lowerLetter"/>
      <w:pStyle w:val="BoxAlpha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5811DDE"/>
    <w:multiLevelType w:val="hybridMultilevel"/>
    <w:tmpl w:val="C38A23EA"/>
    <w:lvl w:ilvl="0" w:tplc="528AF70E">
      <w:start w:val="1"/>
      <w:numFmt w:val="bullet"/>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22">
    <w:nsid w:val="785768E7"/>
    <w:multiLevelType w:val="multilevel"/>
    <w:tmpl w:val="2D3A613C"/>
    <w:lvl w:ilvl="0">
      <w:start w:val="1"/>
      <w:numFmt w:val="decimal"/>
      <w:pStyle w:val="ListNumber"/>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bullet"/>
      <w:lvlText w:val="–"/>
      <w:lvlJc w:val="left"/>
      <w:pPr>
        <w:ind w:left="1588" w:hanging="397"/>
      </w:pPr>
      <w:rPr>
        <w:rFonts w:ascii="Calibri" w:hAnsi="Calibri" w:hint="default"/>
      </w:rPr>
    </w:lvl>
    <w:lvl w:ilvl="4">
      <w:start w:val="1"/>
      <w:numFmt w:val="bullet"/>
      <w:lvlText w:val="•"/>
      <w:lvlJc w:val="left"/>
      <w:pPr>
        <w:ind w:left="1985" w:hanging="397"/>
      </w:pPr>
      <w:rPr>
        <w:rFonts w:ascii="Calibri" w:hAnsi="Calibri" w:hint="default"/>
      </w:rPr>
    </w:lvl>
    <w:lvl w:ilvl="5">
      <w:start w:val="1"/>
      <w:numFmt w:val="bullet"/>
      <w:lvlText w:val="–"/>
      <w:lvlJc w:val="left"/>
      <w:pPr>
        <w:ind w:left="2382" w:hanging="397"/>
      </w:pPr>
      <w:rPr>
        <w:rFonts w:ascii="Calibri" w:hAnsi="Calibri" w:hint="default"/>
      </w:rPr>
    </w:lvl>
    <w:lvl w:ilvl="6">
      <w:start w:val="1"/>
      <w:numFmt w:val="bullet"/>
      <w:lvlText w:val="•"/>
      <w:lvlJc w:val="left"/>
      <w:pPr>
        <w:ind w:left="2779" w:hanging="397"/>
      </w:pPr>
      <w:rPr>
        <w:rFonts w:ascii="Calibri" w:hAnsi="Calibri" w:hint="default"/>
      </w:rPr>
    </w:lvl>
    <w:lvl w:ilvl="7">
      <w:start w:val="1"/>
      <w:numFmt w:val="bullet"/>
      <w:lvlText w:val="–"/>
      <w:lvlJc w:val="left"/>
      <w:pPr>
        <w:ind w:left="3176" w:hanging="397"/>
      </w:pPr>
      <w:rPr>
        <w:rFonts w:ascii="Calibri" w:hAnsi="Calibri" w:hint="default"/>
      </w:rPr>
    </w:lvl>
    <w:lvl w:ilvl="8">
      <w:start w:val="1"/>
      <w:numFmt w:val="bullet"/>
      <w:lvlText w:val="•"/>
      <w:lvlJc w:val="left"/>
      <w:pPr>
        <w:ind w:left="3573" w:hanging="397"/>
      </w:pPr>
      <w:rPr>
        <w:rFonts w:ascii="Calibri" w:hAnsi="Calibri" w:hint="default"/>
      </w:rPr>
    </w:lvl>
  </w:abstractNum>
  <w:abstractNum w:abstractNumId="23">
    <w:nsid w:val="7FC20963"/>
    <w:multiLevelType w:val="hybridMultilevel"/>
    <w:tmpl w:val="33C430FC"/>
    <w:lvl w:ilvl="0" w:tplc="8E42F94E">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7"/>
  </w:num>
  <w:num w:numId="5">
    <w:abstractNumId w:val="12"/>
  </w:num>
  <w:num w:numId="6">
    <w:abstractNumId w:val="15"/>
  </w:num>
  <w:num w:numId="7">
    <w:abstractNumId w:val="3"/>
  </w:num>
  <w:num w:numId="8">
    <w:abstractNumId w:val="13"/>
  </w:num>
  <w:num w:numId="9">
    <w:abstractNumId w:val="9"/>
  </w:num>
  <w:num w:numId="10">
    <w:abstractNumId w:val="4"/>
  </w:num>
  <w:num w:numId="11">
    <w:abstractNumId w:val="6"/>
  </w:num>
  <w:num w:numId="12">
    <w:abstractNumId w:val="16"/>
  </w:num>
  <w:num w:numId="13">
    <w:abstractNumId w:val="11"/>
  </w:num>
  <w:num w:numId="14">
    <w:abstractNumId w:val="17"/>
  </w:num>
  <w:num w:numId="15">
    <w:abstractNumId w:val="8"/>
  </w:num>
  <w:num w:numId="16">
    <w:abstractNumId w:val="2"/>
  </w:num>
  <w:num w:numId="17">
    <w:abstractNumId w:val="10"/>
  </w:num>
  <w:num w:numId="18">
    <w:abstractNumId w:val="18"/>
  </w:num>
  <w:num w:numId="19">
    <w:abstractNumId w:val="0"/>
  </w:num>
  <w:num w:numId="20">
    <w:abstractNumId w:val="19"/>
  </w:num>
  <w:num w:numId="21">
    <w:abstractNumId w:val="14"/>
  </w:num>
  <w:num w:numId="22">
    <w:abstractNumId w:val="5"/>
  </w:num>
  <w:num w:numId="23">
    <w:abstractNumId w:val="21"/>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5"/>
    <w:rsid w:val="00000A49"/>
    <w:rsid w:val="00000B6D"/>
    <w:rsid w:val="00001194"/>
    <w:rsid w:val="00002315"/>
    <w:rsid w:val="00003348"/>
    <w:rsid w:val="000041D3"/>
    <w:rsid w:val="000046B0"/>
    <w:rsid w:val="00005120"/>
    <w:rsid w:val="0000513E"/>
    <w:rsid w:val="0000547E"/>
    <w:rsid w:val="00005C41"/>
    <w:rsid w:val="00006371"/>
    <w:rsid w:val="0000727B"/>
    <w:rsid w:val="000073BF"/>
    <w:rsid w:val="00007DC5"/>
    <w:rsid w:val="000107FE"/>
    <w:rsid w:val="000122B9"/>
    <w:rsid w:val="00012526"/>
    <w:rsid w:val="00012AF6"/>
    <w:rsid w:val="00013AAA"/>
    <w:rsid w:val="00014045"/>
    <w:rsid w:val="000140D0"/>
    <w:rsid w:val="000141CE"/>
    <w:rsid w:val="0001456A"/>
    <w:rsid w:val="0001463B"/>
    <w:rsid w:val="00015270"/>
    <w:rsid w:val="0001568E"/>
    <w:rsid w:val="00015FFA"/>
    <w:rsid w:val="00017082"/>
    <w:rsid w:val="00017276"/>
    <w:rsid w:val="000177AC"/>
    <w:rsid w:val="00017ADC"/>
    <w:rsid w:val="00017C7A"/>
    <w:rsid w:val="00017E5C"/>
    <w:rsid w:val="00017E8B"/>
    <w:rsid w:val="00020188"/>
    <w:rsid w:val="000204E5"/>
    <w:rsid w:val="000217F9"/>
    <w:rsid w:val="00022165"/>
    <w:rsid w:val="00022DB6"/>
    <w:rsid w:val="000232D4"/>
    <w:rsid w:val="00023344"/>
    <w:rsid w:val="00023C12"/>
    <w:rsid w:val="00025185"/>
    <w:rsid w:val="000264A6"/>
    <w:rsid w:val="00026DA8"/>
    <w:rsid w:val="000302D9"/>
    <w:rsid w:val="00031247"/>
    <w:rsid w:val="00031429"/>
    <w:rsid w:val="000316BD"/>
    <w:rsid w:val="00031C86"/>
    <w:rsid w:val="0003204B"/>
    <w:rsid w:val="00032DD2"/>
    <w:rsid w:val="000340B0"/>
    <w:rsid w:val="000341E9"/>
    <w:rsid w:val="00034E11"/>
    <w:rsid w:val="00034FF4"/>
    <w:rsid w:val="00035001"/>
    <w:rsid w:val="00035040"/>
    <w:rsid w:val="00035B71"/>
    <w:rsid w:val="00035DA9"/>
    <w:rsid w:val="000360D9"/>
    <w:rsid w:val="000363A4"/>
    <w:rsid w:val="000364C5"/>
    <w:rsid w:val="000375B4"/>
    <w:rsid w:val="000375F8"/>
    <w:rsid w:val="0003791A"/>
    <w:rsid w:val="000407EB"/>
    <w:rsid w:val="00040BC5"/>
    <w:rsid w:val="00041924"/>
    <w:rsid w:val="000419F1"/>
    <w:rsid w:val="00041DD1"/>
    <w:rsid w:val="000420B3"/>
    <w:rsid w:val="0004247A"/>
    <w:rsid w:val="0004277A"/>
    <w:rsid w:val="0004315E"/>
    <w:rsid w:val="00043863"/>
    <w:rsid w:val="000444CC"/>
    <w:rsid w:val="0004493C"/>
    <w:rsid w:val="00044FD7"/>
    <w:rsid w:val="000451B7"/>
    <w:rsid w:val="00045F3B"/>
    <w:rsid w:val="000469C9"/>
    <w:rsid w:val="000469E2"/>
    <w:rsid w:val="0004707D"/>
    <w:rsid w:val="00047869"/>
    <w:rsid w:val="0005114F"/>
    <w:rsid w:val="00051543"/>
    <w:rsid w:val="000515A1"/>
    <w:rsid w:val="0005195D"/>
    <w:rsid w:val="000527E4"/>
    <w:rsid w:val="0005302E"/>
    <w:rsid w:val="00054033"/>
    <w:rsid w:val="000543A2"/>
    <w:rsid w:val="00054B12"/>
    <w:rsid w:val="00055786"/>
    <w:rsid w:val="00056FE6"/>
    <w:rsid w:val="00057269"/>
    <w:rsid w:val="000575AE"/>
    <w:rsid w:val="00057AC1"/>
    <w:rsid w:val="00060473"/>
    <w:rsid w:val="00060867"/>
    <w:rsid w:val="00060F65"/>
    <w:rsid w:val="00061418"/>
    <w:rsid w:val="00062CAC"/>
    <w:rsid w:val="000655DA"/>
    <w:rsid w:val="00065A2B"/>
    <w:rsid w:val="00065E04"/>
    <w:rsid w:val="00065EF2"/>
    <w:rsid w:val="000661E2"/>
    <w:rsid w:val="000665AB"/>
    <w:rsid w:val="00066AFA"/>
    <w:rsid w:val="00067F7F"/>
    <w:rsid w:val="0007103A"/>
    <w:rsid w:val="000718DC"/>
    <w:rsid w:val="00072013"/>
    <w:rsid w:val="00072114"/>
    <w:rsid w:val="00073706"/>
    <w:rsid w:val="000738B8"/>
    <w:rsid w:val="000748B9"/>
    <w:rsid w:val="00074A05"/>
    <w:rsid w:val="0007553E"/>
    <w:rsid w:val="00075B4A"/>
    <w:rsid w:val="00076260"/>
    <w:rsid w:val="000767EA"/>
    <w:rsid w:val="00076BF0"/>
    <w:rsid w:val="00077046"/>
    <w:rsid w:val="000777DA"/>
    <w:rsid w:val="000803A8"/>
    <w:rsid w:val="0008111B"/>
    <w:rsid w:val="0008171F"/>
    <w:rsid w:val="00081F31"/>
    <w:rsid w:val="00082C8D"/>
    <w:rsid w:val="00084290"/>
    <w:rsid w:val="00084D03"/>
    <w:rsid w:val="00085459"/>
    <w:rsid w:val="00085540"/>
    <w:rsid w:val="0008575C"/>
    <w:rsid w:val="000866FA"/>
    <w:rsid w:val="000873DC"/>
    <w:rsid w:val="000900AF"/>
    <w:rsid w:val="000908B1"/>
    <w:rsid w:val="00090B8D"/>
    <w:rsid w:val="00090EDF"/>
    <w:rsid w:val="000911DF"/>
    <w:rsid w:val="000918BC"/>
    <w:rsid w:val="00092877"/>
    <w:rsid w:val="00092C81"/>
    <w:rsid w:val="00092E02"/>
    <w:rsid w:val="0009326C"/>
    <w:rsid w:val="000936CE"/>
    <w:rsid w:val="000948F4"/>
    <w:rsid w:val="0009571E"/>
    <w:rsid w:val="00096484"/>
    <w:rsid w:val="0009651A"/>
    <w:rsid w:val="0009661A"/>
    <w:rsid w:val="00096819"/>
    <w:rsid w:val="000971B8"/>
    <w:rsid w:val="0009779B"/>
    <w:rsid w:val="00097B45"/>
    <w:rsid w:val="00097BCE"/>
    <w:rsid w:val="00097E2E"/>
    <w:rsid w:val="000A078E"/>
    <w:rsid w:val="000A2D3F"/>
    <w:rsid w:val="000A3080"/>
    <w:rsid w:val="000A3D67"/>
    <w:rsid w:val="000A468C"/>
    <w:rsid w:val="000A54F0"/>
    <w:rsid w:val="000A55D2"/>
    <w:rsid w:val="000A5DB0"/>
    <w:rsid w:val="000A653B"/>
    <w:rsid w:val="000A6643"/>
    <w:rsid w:val="000A6794"/>
    <w:rsid w:val="000A68F9"/>
    <w:rsid w:val="000A6AD3"/>
    <w:rsid w:val="000A6D24"/>
    <w:rsid w:val="000A6DCF"/>
    <w:rsid w:val="000A7257"/>
    <w:rsid w:val="000B00FF"/>
    <w:rsid w:val="000B0320"/>
    <w:rsid w:val="000B04E4"/>
    <w:rsid w:val="000B18B5"/>
    <w:rsid w:val="000B1BB0"/>
    <w:rsid w:val="000B1E4E"/>
    <w:rsid w:val="000B27D5"/>
    <w:rsid w:val="000B2C41"/>
    <w:rsid w:val="000B5435"/>
    <w:rsid w:val="000B5482"/>
    <w:rsid w:val="000B5EA1"/>
    <w:rsid w:val="000B7B78"/>
    <w:rsid w:val="000B7F25"/>
    <w:rsid w:val="000C0157"/>
    <w:rsid w:val="000C06B5"/>
    <w:rsid w:val="000C1402"/>
    <w:rsid w:val="000C16F8"/>
    <w:rsid w:val="000C22FB"/>
    <w:rsid w:val="000C330C"/>
    <w:rsid w:val="000C3681"/>
    <w:rsid w:val="000C3935"/>
    <w:rsid w:val="000C3CB6"/>
    <w:rsid w:val="000C3F53"/>
    <w:rsid w:val="000C3FA5"/>
    <w:rsid w:val="000C4D0F"/>
    <w:rsid w:val="000C4E7B"/>
    <w:rsid w:val="000C56F8"/>
    <w:rsid w:val="000C67F9"/>
    <w:rsid w:val="000C6F5B"/>
    <w:rsid w:val="000C76CF"/>
    <w:rsid w:val="000C7C8E"/>
    <w:rsid w:val="000C7EAF"/>
    <w:rsid w:val="000D13A5"/>
    <w:rsid w:val="000D152C"/>
    <w:rsid w:val="000D2F53"/>
    <w:rsid w:val="000D38D4"/>
    <w:rsid w:val="000D3B1B"/>
    <w:rsid w:val="000D4390"/>
    <w:rsid w:val="000D4922"/>
    <w:rsid w:val="000D4F8B"/>
    <w:rsid w:val="000D504C"/>
    <w:rsid w:val="000D5397"/>
    <w:rsid w:val="000D5DBA"/>
    <w:rsid w:val="000D68BC"/>
    <w:rsid w:val="000D6E60"/>
    <w:rsid w:val="000D79B6"/>
    <w:rsid w:val="000D7C13"/>
    <w:rsid w:val="000D7D2B"/>
    <w:rsid w:val="000E0CE6"/>
    <w:rsid w:val="000E0E52"/>
    <w:rsid w:val="000E0EB5"/>
    <w:rsid w:val="000E248F"/>
    <w:rsid w:val="000E2637"/>
    <w:rsid w:val="000E3633"/>
    <w:rsid w:val="000E3716"/>
    <w:rsid w:val="000E375F"/>
    <w:rsid w:val="000E3E75"/>
    <w:rsid w:val="000E41B5"/>
    <w:rsid w:val="000E4413"/>
    <w:rsid w:val="000E4616"/>
    <w:rsid w:val="000E4809"/>
    <w:rsid w:val="000E6172"/>
    <w:rsid w:val="000E6709"/>
    <w:rsid w:val="000E677E"/>
    <w:rsid w:val="000E7075"/>
    <w:rsid w:val="000E72C8"/>
    <w:rsid w:val="000E738C"/>
    <w:rsid w:val="000E7B6C"/>
    <w:rsid w:val="000E7BDE"/>
    <w:rsid w:val="000F0AA0"/>
    <w:rsid w:val="000F1807"/>
    <w:rsid w:val="000F237F"/>
    <w:rsid w:val="000F23A3"/>
    <w:rsid w:val="000F26BC"/>
    <w:rsid w:val="000F3435"/>
    <w:rsid w:val="000F3C65"/>
    <w:rsid w:val="000F4017"/>
    <w:rsid w:val="000F4839"/>
    <w:rsid w:val="000F500A"/>
    <w:rsid w:val="000F692C"/>
    <w:rsid w:val="000F6E2D"/>
    <w:rsid w:val="000F777D"/>
    <w:rsid w:val="00100019"/>
    <w:rsid w:val="00100D95"/>
    <w:rsid w:val="0010137F"/>
    <w:rsid w:val="001030FE"/>
    <w:rsid w:val="001033FB"/>
    <w:rsid w:val="00104855"/>
    <w:rsid w:val="00104965"/>
    <w:rsid w:val="00104E0F"/>
    <w:rsid w:val="001058F2"/>
    <w:rsid w:val="001065DA"/>
    <w:rsid w:val="00106BC0"/>
    <w:rsid w:val="00106C6D"/>
    <w:rsid w:val="00106D32"/>
    <w:rsid w:val="00106F32"/>
    <w:rsid w:val="001074B1"/>
    <w:rsid w:val="001078F7"/>
    <w:rsid w:val="00107A10"/>
    <w:rsid w:val="0011039D"/>
    <w:rsid w:val="0011084F"/>
    <w:rsid w:val="00113B35"/>
    <w:rsid w:val="0011451E"/>
    <w:rsid w:val="0011496C"/>
    <w:rsid w:val="001151CC"/>
    <w:rsid w:val="001161C8"/>
    <w:rsid w:val="001168E8"/>
    <w:rsid w:val="00116A6C"/>
    <w:rsid w:val="00117DA8"/>
    <w:rsid w:val="0012024C"/>
    <w:rsid w:val="0012219A"/>
    <w:rsid w:val="0012373B"/>
    <w:rsid w:val="00124276"/>
    <w:rsid w:val="00124EB6"/>
    <w:rsid w:val="001254E7"/>
    <w:rsid w:val="0012576B"/>
    <w:rsid w:val="00125835"/>
    <w:rsid w:val="00125DF0"/>
    <w:rsid w:val="00126732"/>
    <w:rsid w:val="0012758F"/>
    <w:rsid w:val="0013173A"/>
    <w:rsid w:val="001323B4"/>
    <w:rsid w:val="0013275D"/>
    <w:rsid w:val="00132975"/>
    <w:rsid w:val="00133105"/>
    <w:rsid w:val="00133124"/>
    <w:rsid w:val="00133291"/>
    <w:rsid w:val="00133870"/>
    <w:rsid w:val="001342DF"/>
    <w:rsid w:val="00134430"/>
    <w:rsid w:val="00134525"/>
    <w:rsid w:val="0013486B"/>
    <w:rsid w:val="00134F67"/>
    <w:rsid w:val="0013534B"/>
    <w:rsid w:val="0013551C"/>
    <w:rsid w:val="00135ACE"/>
    <w:rsid w:val="00135C4A"/>
    <w:rsid w:val="0013620C"/>
    <w:rsid w:val="001365F9"/>
    <w:rsid w:val="00136BA2"/>
    <w:rsid w:val="00137BF8"/>
    <w:rsid w:val="0014086D"/>
    <w:rsid w:val="00140AC6"/>
    <w:rsid w:val="00141128"/>
    <w:rsid w:val="00141A63"/>
    <w:rsid w:val="00142195"/>
    <w:rsid w:val="00142CA2"/>
    <w:rsid w:val="00142D3D"/>
    <w:rsid w:val="00142FAA"/>
    <w:rsid w:val="001439D0"/>
    <w:rsid w:val="00144AC6"/>
    <w:rsid w:val="00145467"/>
    <w:rsid w:val="0014565F"/>
    <w:rsid w:val="00145D1E"/>
    <w:rsid w:val="0014640D"/>
    <w:rsid w:val="0014668A"/>
    <w:rsid w:val="001466A0"/>
    <w:rsid w:val="00146BD2"/>
    <w:rsid w:val="00146EC7"/>
    <w:rsid w:val="001470C8"/>
    <w:rsid w:val="0014778D"/>
    <w:rsid w:val="0015017D"/>
    <w:rsid w:val="001507A1"/>
    <w:rsid w:val="00151BE4"/>
    <w:rsid w:val="00151C6C"/>
    <w:rsid w:val="00151E0B"/>
    <w:rsid w:val="0015284C"/>
    <w:rsid w:val="001531F9"/>
    <w:rsid w:val="00154ADC"/>
    <w:rsid w:val="00155307"/>
    <w:rsid w:val="00155457"/>
    <w:rsid w:val="001555DD"/>
    <w:rsid w:val="0015669B"/>
    <w:rsid w:val="001571D1"/>
    <w:rsid w:val="001578A1"/>
    <w:rsid w:val="00160B46"/>
    <w:rsid w:val="00160E50"/>
    <w:rsid w:val="001614A2"/>
    <w:rsid w:val="00161920"/>
    <w:rsid w:val="00161F74"/>
    <w:rsid w:val="001628A4"/>
    <w:rsid w:val="001645C1"/>
    <w:rsid w:val="001649A6"/>
    <w:rsid w:val="00165284"/>
    <w:rsid w:val="00165500"/>
    <w:rsid w:val="00165A14"/>
    <w:rsid w:val="00165A25"/>
    <w:rsid w:val="00165D7D"/>
    <w:rsid w:val="00165DA7"/>
    <w:rsid w:val="0016650B"/>
    <w:rsid w:val="0016709F"/>
    <w:rsid w:val="00167BBF"/>
    <w:rsid w:val="00167C1E"/>
    <w:rsid w:val="00167D1B"/>
    <w:rsid w:val="0017131A"/>
    <w:rsid w:val="00171A18"/>
    <w:rsid w:val="00171ECD"/>
    <w:rsid w:val="00172019"/>
    <w:rsid w:val="001743F9"/>
    <w:rsid w:val="0017469C"/>
    <w:rsid w:val="00176425"/>
    <w:rsid w:val="00176964"/>
    <w:rsid w:val="001773C2"/>
    <w:rsid w:val="001805CC"/>
    <w:rsid w:val="00180E17"/>
    <w:rsid w:val="001815A4"/>
    <w:rsid w:val="001818BB"/>
    <w:rsid w:val="0018198C"/>
    <w:rsid w:val="0018250B"/>
    <w:rsid w:val="0018368A"/>
    <w:rsid w:val="00183874"/>
    <w:rsid w:val="00184065"/>
    <w:rsid w:val="00184C71"/>
    <w:rsid w:val="0018549A"/>
    <w:rsid w:val="00185A10"/>
    <w:rsid w:val="00185AF9"/>
    <w:rsid w:val="00185CC6"/>
    <w:rsid w:val="00186A99"/>
    <w:rsid w:val="0018711D"/>
    <w:rsid w:val="00187351"/>
    <w:rsid w:val="001876D5"/>
    <w:rsid w:val="00190D4C"/>
    <w:rsid w:val="0019155E"/>
    <w:rsid w:val="00191B45"/>
    <w:rsid w:val="00192071"/>
    <w:rsid w:val="0019210A"/>
    <w:rsid w:val="00193616"/>
    <w:rsid w:val="00193700"/>
    <w:rsid w:val="00194014"/>
    <w:rsid w:val="00194458"/>
    <w:rsid w:val="00194B7A"/>
    <w:rsid w:val="00195A73"/>
    <w:rsid w:val="00195B86"/>
    <w:rsid w:val="00196195"/>
    <w:rsid w:val="0019717C"/>
    <w:rsid w:val="001972CE"/>
    <w:rsid w:val="00197910"/>
    <w:rsid w:val="001A0B68"/>
    <w:rsid w:val="001A18E9"/>
    <w:rsid w:val="001A1CA1"/>
    <w:rsid w:val="001A30E9"/>
    <w:rsid w:val="001A378E"/>
    <w:rsid w:val="001A3AF9"/>
    <w:rsid w:val="001A3F04"/>
    <w:rsid w:val="001A4C52"/>
    <w:rsid w:val="001A57CB"/>
    <w:rsid w:val="001A621F"/>
    <w:rsid w:val="001A673D"/>
    <w:rsid w:val="001A6AD7"/>
    <w:rsid w:val="001A6C51"/>
    <w:rsid w:val="001A6C98"/>
    <w:rsid w:val="001A7A0A"/>
    <w:rsid w:val="001A7C4C"/>
    <w:rsid w:val="001A7D6E"/>
    <w:rsid w:val="001B04A4"/>
    <w:rsid w:val="001B092D"/>
    <w:rsid w:val="001B120D"/>
    <w:rsid w:val="001B13A0"/>
    <w:rsid w:val="001B15DF"/>
    <w:rsid w:val="001B1DAF"/>
    <w:rsid w:val="001B26EE"/>
    <w:rsid w:val="001B3248"/>
    <w:rsid w:val="001B342E"/>
    <w:rsid w:val="001B3547"/>
    <w:rsid w:val="001B39AC"/>
    <w:rsid w:val="001B4623"/>
    <w:rsid w:val="001B46A2"/>
    <w:rsid w:val="001B47EC"/>
    <w:rsid w:val="001B4952"/>
    <w:rsid w:val="001B635A"/>
    <w:rsid w:val="001B7862"/>
    <w:rsid w:val="001C0A42"/>
    <w:rsid w:val="001C19E2"/>
    <w:rsid w:val="001C19E6"/>
    <w:rsid w:val="001C1B79"/>
    <w:rsid w:val="001C1DE8"/>
    <w:rsid w:val="001C23C9"/>
    <w:rsid w:val="001C324C"/>
    <w:rsid w:val="001C3A04"/>
    <w:rsid w:val="001C4C49"/>
    <w:rsid w:val="001C4D10"/>
    <w:rsid w:val="001C52F4"/>
    <w:rsid w:val="001C5F7A"/>
    <w:rsid w:val="001C7D83"/>
    <w:rsid w:val="001D0C18"/>
    <w:rsid w:val="001D2839"/>
    <w:rsid w:val="001D2ABC"/>
    <w:rsid w:val="001D2EF5"/>
    <w:rsid w:val="001D30A8"/>
    <w:rsid w:val="001D3328"/>
    <w:rsid w:val="001D40CD"/>
    <w:rsid w:val="001D4DBF"/>
    <w:rsid w:val="001D4F03"/>
    <w:rsid w:val="001D507C"/>
    <w:rsid w:val="001D52DE"/>
    <w:rsid w:val="001D5E1D"/>
    <w:rsid w:val="001D5EE8"/>
    <w:rsid w:val="001D7AF3"/>
    <w:rsid w:val="001D7BD0"/>
    <w:rsid w:val="001D7F32"/>
    <w:rsid w:val="001E02B2"/>
    <w:rsid w:val="001E1238"/>
    <w:rsid w:val="001E2097"/>
    <w:rsid w:val="001E296C"/>
    <w:rsid w:val="001E2F8D"/>
    <w:rsid w:val="001E3686"/>
    <w:rsid w:val="001E37E9"/>
    <w:rsid w:val="001E3DB4"/>
    <w:rsid w:val="001E61BC"/>
    <w:rsid w:val="001E75BE"/>
    <w:rsid w:val="001E77FD"/>
    <w:rsid w:val="001E7A50"/>
    <w:rsid w:val="001F0363"/>
    <w:rsid w:val="001F058B"/>
    <w:rsid w:val="001F06C9"/>
    <w:rsid w:val="001F089D"/>
    <w:rsid w:val="001F0CB9"/>
    <w:rsid w:val="001F1E7E"/>
    <w:rsid w:val="001F1FC9"/>
    <w:rsid w:val="001F4336"/>
    <w:rsid w:val="001F485C"/>
    <w:rsid w:val="001F4A1C"/>
    <w:rsid w:val="001F58DF"/>
    <w:rsid w:val="001F65DD"/>
    <w:rsid w:val="001F670E"/>
    <w:rsid w:val="001F6A3F"/>
    <w:rsid w:val="001F7DBF"/>
    <w:rsid w:val="002005E5"/>
    <w:rsid w:val="00200724"/>
    <w:rsid w:val="00200BE1"/>
    <w:rsid w:val="00201AEB"/>
    <w:rsid w:val="00201D23"/>
    <w:rsid w:val="002027DC"/>
    <w:rsid w:val="00202F6C"/>
    <w:rsid w:val="002038BA"/>
    <w:rsid w:val="00203EDF"/>
    <w:rsid w:val="00203FED"/>
    <w:rsid w:val="00204143"/>
    <w:rsid w:val="00205729"/>
    <w:rsid w:val="002058F3"/>
    <w:rsid w:val="00205CC9"/>
    <w:rsid w:val="00206120"/>
    <w:rsid w:val="002072AA"/>
    <w:rsid w:val="002078C6"/>
    <w:rsid w:val="00207A27"/>
    <w:rsid w:val="00207AF8"/>
    <w:rsid w:val="00207C85"/>
    <w:rsid w:val="00210220"/>
    <w:rsid w:val="00210BDF"/>
    <w:rsid w:val="00211162"/>
    <w:rsid w:val="0021173B"/>
    <w:rsid w:val="002122B0"/>
    <w:rsid w:val="00212D13"/>
    <w:rsid w:val="00212E2F"/>
    <w:rsid w:val="00213530"/>
    <w:rsid w:val="00213A80"/>
    <w:rsid w:val="00214E1A"/>
    <w:rsid w:val="002154E1"/>
    <w:rsid w:val="002157BB"/>
    <w:rsid w:val="00215B3A"/>
    <w:rsid w:val="00216025"/>
    <w:rsid w:val="00217367"/>
    <w:rsid w:val="00220021"/>
    <w:rsid w:val="0022023C"/>
    <w:rsid w:val="002209C0"/>
    <w:rsid w:val="00220CFE"/>
    <w:rsid w:val="00221BBE"/>
    <w:rsid w:val="00222827"/>
    <w:rsid w:val="00224058"/>
    <w:rsid w:val="00224AC8"/>
    <w:rsid w:val="00224D1F"/>
    <w:rsid w:val="00224E9D"/>
    <w:rsid w:val="00225C2C"/>
    <w:rsid w:val="00225CD7"/>
    <w:rsid w:val="002265B7"/>
    <w:rsid w:val="00226E30"/>
    <w:rsid w:val="00227E18"/>
    <w:rsid w:val="0023056C"/>
    <w:rsid w:val="002309FC"/>
    <w:rsid w:val="0023114F"/>
    <w:rsid w:val="002316EB"/>
    <w:rsid w:val="002316F6"/>
    <w:rsid w:val="00233865"/>
    <w:rsid w:val="00233AAC"/>
    <w:rsid w:val="00233ECE"/>
    <w:rsid w:val="00234A4C"/>
    <w:rsid w:val="00234EF5"/>
    <w:rsid w:val="00235222"/>
    <w:rsid w:val="00235B37"/>
    <w:rsid w:val="00236060"/>
    <w:rsid w:val="002363E3"/>
    <w:rsid w:val="00236ECB"/>
    <w:rsid w:val="00236FBF"/>
    <w:rsid w:val="00237CDA"/>
    <w:rsid w:val="00240F4A"/>
    <w:rsid w:val="00241660"/>
    <w:rsid w:val="002417B7"/>
    <w:rsid w:val="002417F0"/>
    <w:rsid w:val="00242134"/>
    <w:rsid w:val="002429B3"/>
    <w:rsid w:val="002435AD"/>
    <w:rsid w:val="00243BD5"/>
    <w:rsid w:val="00244B85"/>
    <w:rsid w:val="00244C2C"/>
    <w:rsid w:val="00244DA0"/>
    <w:rsid w:val="0024534D"/>
    <w:rsid w:val="00245453"/>
    <w:rsid w:val="00245F09"/>
    <w:rsid w:val="002460CF"/>
    <w:rsid w:val="00247C64"/>
    <w:rsid w:val="00250085"/>
    <w:rsid w:val="0025012B"/>
    <w:rsid w:val="002503C3"/>
    <w:rsid w:val="00250A59"/>
    <w:rsid w:val="00250BF6"/>
    <w:rsid w:val="00250FCB"/>
    <w:rsid w:val="002515A6"/>
    <w:rsid w:val="002523B0"/>
    <w:rsid w:val="00252705"/>
    <w:rsid w:val="002533DE"/>
    <w:rsid w:val="00254C5E"/>
    <w:rsid w:val="002550D0"/>
    <w:rsid w:val="00255850"/>
    <w:rsid w:val="00255DC1"/>
    <w:rsid w:val="0025641C"/>
    <w:rsid w:val="00257B6E"/>
    <w:rsid w:val="002614DA"/>
    <w:rsid w:val="00261525"/>
    <w:rsid w:val="00261E49"/>
    <w:rsid w:val="00262001"/>
    <w:rsid w:val="00262D77"/>
    <w:rsid w:val="0026308F"/>
    <w:rsid w:val="002631FC"/>
    <w:rsid w:val="00264321"/>
    <w:rsid w:val="00267374"/>
    <w:rsid w:val="00270654"/>
    <w:rsid w:val="0027088C"/>
    <w:rsid w:val="002708DE"/>
    <w:rsid w:val="00270BAF"/>
    <w:rsid w:val="00273819"/>
    <w:rsid w:val="00274357"/>
    <w:rsid w:val="002754EA"/>
    <w:rsid w:val="002756BB"/>
    <w:rsid w:val="0027570A"/>
    <w:rsid w:val="002757B2"/>
    <w:rsid w:val="002762F8"/>
    <w:rsid w:val="002764A6"/>
    <w:rsid w:val="002773F9"/>
    <w:rsid w:val="00277639"/>
    <w:rsid w:val="0027785D"/>
    <w:rsid w:val="00277CB9"/>
    <w:rsid w:val="0028073F"/>
    <w:rsid w:val="002813A4"/>
    <w:rsid w:val="0028260E"/>
    <w:rsid w:val="00282EF3"/>
    <w:rsid w:val="00283750"/>
    <w:rsid w:val="00283C50"/>
    <w:rsid w:val="002843D8"/>
    <w:rsid w:val="002844C4"/>
    <w:rsid w:val="002845A2"/>
    <w:rsid w:val="0028502E"/>
    <w:rsid w:val="002862B5"/>
    <w:rsid w:val="00287B97"/>
    <w:rsid w:val="00291148"/>
    <w:rsid w:val="00291B62"/>
    <w:rsid w:val="0029279B"/>
    <w:rsid w:val="00293757"/>
    <w:rsid w:val="00293B12"/>
    <w:rsid w:val="002947C4"/>
    <w:rsid w:val="00295DA2"/>
    <w:rsid w:val="0029628F"/>
    <w:rsid w:val="0029769E"/>
    <w:rsid w:val="002979F5"/>
    <w:rsid w:val="00297FB8"/>
    <w:rsid w:val="002A0274"/>
    <w:rsid w:val="002A0825"/>
    <w:rsid w:val="002A0DEB"/>
    <w:rsid w:val="002A109D"/>
    <w:rsid w:val="002A220F"/>
    <w:rsid w:val="002A3030"/>
    <w:rsid w:val="002A3ECA"/>
    <w:rsid w:val="002A44FE"/>
    <w:rsid w:val="002A4BCB"/>
    <w:rsid w:val="002A4F40"/>
    <w:rsid w:val="002A6055"/>
    <w:rsid w:val="002A6A8A"/>
    <w:rsid w:val="002A7838"/>
    <w:rsid w:val="002A7B0A"/>
    <w:rsid w:val="002B00B5"/>
    <w:rsid w:val="002B028F"/>
    <w:rsid w:val="002B089D"/>
    <w:rsid w:val="002B1182"/>
    <w:rsid w:val="002B1A95"/>
    <w:rsid w:val="002B1CFA"/>
    <w:rsid w:val="002B1D08"/>
    <w:rsid w:val="002B23C5"/>
    <w:rsid w:val="002B3071"/>
    <w:rsid w:val="002B4C4B"/>
    <w:rsid w:val="002B4F06"/>
    <w:rsid w:val="002B598C"/>
    <w:rsid w:val="002B618E"/>
    <w:rsid w:val="002B664E"/>
    <w:rsid w:val="002B7719"/>
    <w:rsid w:val="002C0426"/>
    <w:rsid w:val="002C14A4"/>
    <w:rsid w:val="002C1ABB"/>
    <w:rsid w:val="002C2507"/>
    <w:rsid w:val="002C25C0"/>
    <w:rsid w:val="002C26A1"/>
    <w:rsid w:val="002C2F52"/>
    <w:rsid w:val="002C33B2"/>
    <w:rsid w:val="002C392D"/>
    <w:rsid w:val="002C3C90"/>
    <w:rsid w:val="002C3E6B"/>
    <w:rsid w:val="002C400D"/>
    <w:rsid w:val="002C42D3"/>
    <w:rsid w:val="002C45F7"/>
    <w:rsid w:val="002C57BE"/>
    <w:rsid w:val="002C5FE2"/>
    <w:rsid w:val="002C6EF3"/>
    <w:rsid w:val="002C6FF3"/>
    <w:rsid w:val="002C7360"/>
    <w:rsid w:val="002D06D3"/>
    <w:rsid w:val="002D0E93"/>
    <w:rsid w:val="002D165C"/>
    <w:rsid w:val="002D1817"/>
    <w:rsid w:val="002D1F29"/>
    <w:rsid w:val="002D20DC"/>
    <w:rsid w:val="002D26BC"/>
    <w:rsid w:val="002D2BC4"/>
    <w:rsid w:val="002D3209"/>
    <w:rsid w:val="002D49DC"/>
    <w:rsid w:val="002D52DC"/>
    <w:rsid w:val="002D59B7"/>
    <w:rsid w:val="002D6C87"/>
    <w:rsid w:val="002D7317"/>
    <w:rsid w:val="002D7993"/>
    <w:rsid w:val="002D7F87"/>
    <w:rsid w:val="002E06C3"/>
    <w:rsid w:val="002E16C0"/>
    <w:rsid w:val="002E2061"/>
    <w:rsid w:val="002E2E19"/>
    <w:rsid w:val="002E3C1B"/>
    <w:rsid w:val="002E3F51"/>
    <w:rsid w:val="002E4571"/>
    <w:rsid w:val="002E5BB6"/>
    <w:rsid w:val="002E5D8A"/>
    <w:rsid w:val="002E6282"/>
    <w:rsid w:val="002E6939"/>
    <w:rsid w:val="002E696C"/>
    <w:rsid w:val="002E69A7"/>
    <w:rsid w:val="002E7953"/>
    <w:rsid w:val="002F01C9"/>
    <w:rsid w:val="002F06B6"/>
    <w:rsid w:val="002F15D2"/>
    <w:rsid w:val="002F19D9"/>
    <w:rsid w:val="002F214B"/>
    <w:rsid w:val="002F2C18"/>
    <w:rsid w:val="002F3445"/>
    <w:rsid w:val="002F41B4"/>
    <w:rsid w:val="002F434A"/>
    <w:rsid w:val="002F4D50"/>
    <w:rsid w:val="002F4D55"/>
    <w:rsid w:val="002F4DE9"/>
    <w:rsid w:val="002F56F9"/>
    <w:rsid w:val="002F5C53"/>
    <w:rsid w:val="002F5D08"/>
    <w:rsid w:val="002F6B38"/>
    <w:rsid w:val="0030008A"/>
    <w:rsid w:val="0030059E"/>
    <w:rsid w:val="00300CAC"/>
    <w:rsid w:val="003013FF"/>
    <w:rsid w:val="0030190C"/>
    <w:rsid w:val="00301F7B"/>
    <w:rsid w:val="00302112"/>
    <w:rsid w:val="00302D1B"/>
    <w:rsid w:val="00303A38"/>
    <w:rsid w:val="00303F23"/>
    <w:rsid w:val="0030417A"/>
    <w:rsid w:val="00305B4A"/>
    <w:rsid w:val="00305FD1"/>
    <w:rsid w:val="003064A4"/>
    <w:rsid w:val="00307E07"/>
    <w:rsid w:val="00310335"/>
    <w:rsid w:val="0031085A"/>
    <w:rsid w:val="00310AF8"/>
    <w:rsid w:val="00310DB9"/>
    <w:rsid w:val="00311026"/>
    <w:rsid w:val="00311E29"/>
    <w:rsid w:val="00311F03"/>
    <w:rsid w:val="00312436"/>
    <w:rsid w:val="00313983"/>
    <w:rsid w:val="00313C99"/>
    <w:rsid w:val="00314B55"/>
    <w:rsid w:val="003152FC"/>
    <w:rsid w:val="00315B66"/>
    <w:rsid w:val="0031644D"/>
    <w:rsid w:val="00316D4A"/>
    <w:rsid w:val="0031734E"/>
    <w:rsid w:val="003174B7"/>
    <w:rsid w:val="0031782B"/>
    <w:rsid w:val="00317A92"/>
    <w:rsid w:val="00317ECE"/>
    <w:rsid w:val="00320740"/>
    <w:rsid w:val="00320E2F"/>
    <w:rsid w:val="003224A4"/>
    <w:rsid w:val="003225DB"/>
    <w:rsid w:val="00322C59"/>
    <w:rsid w:val="00322D72"/>
    <w:rsid w:val="003231A6"/>
    <w:rsid w:val="00323221"/>
    <w:rsid w:val="00323C9B"/>
    <w:rsid w:val="00323FF1"/>
    <w:rsid w:val="00324043"/>
    <w:rsid w:val="003243E9"/>
    <w:rsid w:val="003245BC"/>
    <w:rsid w:val="00324ABC"/>
    <w:rsid w:val="003261CC"/>
    <w:rsid w:val="0032673D"/>
    <w:rsid w:val="00330126"/>
    <w:rsid w:val="003304BD"/>
    <w:rsid w:val="003316F4"/>
    <w:rsid w:val="003326DF"/>
    <w:rsid w:val="00332F07"/>
    <w:rsid w:val="00333F6D"/>
    <w:rsid w:val="00334216"/>
    <w:rsid w:val="003344FD"/>
    <w:rsid w:val="003348E8"/>
    <w:rsid w:val="00335510"/>
    <w:rsid w:val="00335BF9"/>
    <w:rsid w:val="00335CD0"/>
    <w:rsid w:val="003363B2"/>
    <w:rsid w:val="00337B81"/>
    <w:rsid w:val="00340083"/>
    <w:rsid w:val="003401A7"/>
    <w:rsid w:val="003403B3"/>
    <w:rsid w:val="00340846"/>
    <w:rsid w:val="00340888"/>
    <w:rsid w:val="00340BE7"/>
    <w:rsid w:val="00340FE7"/>
    <w:rsid w:val="003414AC"/>
    <w:rsid w:val="00341DE0"/>
    <w:rsid w:val="00342968"/>
    <w:rsid w:val="00342AA1"/>
    <w:rsid w:val="0034417C"/>
    <w:rsid w:val="0034437A"/>
    <w:rsid w:val="003446C9"/>
    <w:rsid w:val="003448A8"/>
    <w:rsid w:val="00344AF3"/>
    <w:rsid w:val="00344D47"/>
    <w:rsid w:val="00344FA0"/>
    <w:rsid w:val="0034584F"/>
    <w:rsid w:val="003465F7"/>
    <w:rsid w:val="0034670C"/>
    <w:rsid w:val="0035035A"/>
    <w:rsid w:val="00350497"/>
    <w:rsid w:val="00350EF9"/>
    <w:rsid w:val="00350F7C"/>
    <w:rsid w:val="003517A0"/>
    <w:rsid w:val="003523B1"/>
    <w:rsid w:val="0035323C"/>
    <w:rsid w:val="00354061"/>
    <w:rsid w:val="003550F9"/>
    <w:rsid w:val="0035534A"/>
    <w:rsid w:val="00356371"/>
    <w:rsid w:val="00356F0F"/>
    <w:rsid w:val="00357038"/>
    <w:rsid w:val="00357920"/>
    <w:rsid w:val="00357DFA"/>
    <w:rsid w:val="003607E7"/>
    <w:rsid w:val="0036158A"/>
    <w:rsid w:val="0036181B"/>
    <w:rsid w:val="00361C53"/>
    <w:rsid w:val="003624E9"/>
    <w:rsid w:val="003625A5"/>
    <w:rsid w:val="0036262F"/>
    <w:rsid w:val="003635FA"/>
    <w:rsid w:val="00363B5F"/>
    <w:rsid w:val="003641BC"/>
    <w:rsid w:val="0036478A"/>
    <w:rsid w:val="0036500B"/>
    <w:rsid w:val="0036524B"/>
    <w:rsid w:val="003658B6"/>
    <w:rsid w:val="003661AC"/>
    <w:rsid w:val="0036755E"/>
    <w:rsid w:val="00370412"/>
    <w:rsid w:val="0037099F"/>
    <w:rsid w:val="0037136C"/>
    <w:rsid w:val="00371421"/>
    <w:rsid w:val="00371D37"/>
    <w:rsid w:val="00372631"/>
    <w:rsid w:val="0037264F"/>
    <w:rsid w:val="00372EA2"/>
    <w:rsid w:val="00374422"/>
    <w:rsid w:val="00375E3A"/>
    <w:rsid w:val="003805E6"/>
    <w:rsid w:val="00380719"/>
    <w:rsid w:val="003811E1"/>
    <w:rsid w:val="0038293D"/>
    <w:rsid w:val="0038316B"/>
    <w:rsid w:val="003843D4"/>
    <w:rsid w:val="003847A3"/>
    <w:rsid w:val="0038486E"/>
    <w:rsid w:val="00384979"/>
    <w:rsid w:val="003849AD"/>
    <w:rsid w:val="00384A55"/>
    <w:rsid w:val="00384AB0"/>
    <w:rsid w:val="00385290"/>
    <w:rsid w:val="00385B12"/>
    <w:rsid w:val="003868AA"/>
    <w:rsid w:val="00386B71"/>
    <w:rsid w:val="00386FB7"/>
    <w:rsid w:val="0038769C"/>
    <w:rsid w:val="00387921"/>
    <w:rsid w:val="003925F3"/>
    <w:rsid w:val="0039438B"/>
    <w:rsid w:val="00394C0D"/>
    <w:rsid w:val="00395872"/>
    <w:rsid w:val="00395D40"/>
    <w:rsid w:val="0039604F"/>
    <w:rsid w:val="00396138"/>
    <w:rsid w:val="00396B4E"/>
    <w:rsid w:val="00397282"/>
    <w:rsid w:val="003A0ACB"/>
    <w:rsid w:val="003A158A"/>
    <w:rsid w:val="003A49EE"/>
    <w:rsid w:val="003A548E"/>
    <w:rsid w:val="003A5D85"/>
    <w:rsid w:val="003A6752"/>
    <w:rsid w:val="003A67E0"/>
    <w:rsid w:val="003B0DF3"/>
    <w:rsid w:val="003B0FA4"/>
    <w:rsid w:val="003B10D9"/>
    <w:rsid w:val="003B27E0"/>
    <w:rsid w:val="003B27F1"/>
    <w:rsid w:val="003B2A53"/>
    <w:rsid w:val="003B347C"/>
    <w:rsid w:val="003B34B0"/>
    <w:rsid w:val="003B4F41"/>
    <w:rsid w:val="003B550A"/>
    <w:rsid w:val="003B5512"/>
    <w:rsid w:val="003B6FFF"/>
    <w:rsid w:val="003B7C54"/>
    <w:rsid w:val="003C0121"/>
    <w:rsid w:val="003C0267"/>
    <w:rsid w:val="003C0965"/>
    <w:rsid w:val="003C1852"/>
    <w:rsid w:val="003C1CE4"/>
    <w:rsid w:val="003C20A0"/>
    <w:rsid w:val="003C2353"/>
    <w:rsid w:val="003C28A4"/>
    <w:rsid w:val="003C2978"/>
    <w:rsid w:val="003C2C26"/>
    <w:rsid w:val="003C3ABF"/>
    <w:rsid w:val="003C3CE8"/>
    <w:rsid w:val="003C4132"/>
    <w:rsid w:val="003C4535"/>
    <w:rsid w:val="003C4931"/>
    <w:rsid w:val="003C588D"/>
    <w:rsid w:val="003C590A"/>
    <w:rsid w:val="003C7105"/>
    <w:rsid w:val="003C7348"/>
    <w:rsid w:val="003C7784"/>
    <w:rsid w:val="003C7B5A"/>
    <w:rsid w:val="003C7CD4"/>
    <w:rsid w:val="003C7D73"/>
    <w:rsid w:val="003D024D"/>
    <w:rsid w:val="003D077A"/>
    <w:rsid w:val="003D19C5"/>
    <w:rsid w:val="003D1DA0"/>
    <w:rsid w:val="003D2794"/>
    <w:rsid w:val="003D2C46"/>
    <w:rsid w:val="003D2D72"/>
    <w:rsid w:val="003D37B2"/>
    <w:rsid w:val="003D3971"/>
    <w:rsid w:val="003D4235"/>
    <w:rsid w:val="003D45FC"/>
    <w:rsid w:val="003D487F"/>
    <w:rsid w:val="003D4B79"/>
    <w:rsid w:val="003D4C20"/>
    <w:rsid w:val="003D4E13"/>
    <w:rsid w:val="003D52F1"/>
    <w:rsid w:val="003D58BF"/>
    <w:rsid w:val="003D5EDA"/>
    <w:rsid w:val="003D6C7A"/>
    <w:rsid w:val="003D7032"/>
    <w:rsid w:val="003D74C7"/>
    <w:rsid w:val="003E0830"/>
    <w:rsid w:val="003E0D5E"/>
    <w:rsid w:val="003E16F5"/>
    <w:rsid w:val="003E1ADD"/>
    <w:rsid w:val="003E2212"/>
    <w:rsid w:val="003E2A46"/>
    <w:rsid w:val="003E3C80"/>
    <w:rsid w:val="003E3FA2"/>
    <w:rsid w:val="003E3FE3"/>
    <w:rsid w:val="003E44FD"/>
    <w:rsid w:val="003E474E"/>
    <w:rsid w:val="003E4EB4"/>
    <w:rsid w:val="003E5462"/>
    <w:rsid w:val="003E65D0"/>
    <w:rsid w:val="003E66E6"/>
    <w:rsid w:val="003E6C5F"/>
    <w:rsid w:val="003E6D05"/>
    <w:rsid w:val="003E71BA"/>
    <w:rsid w:val="003E72D8"/>
    <w:rsid w:val="003F025E"/>
    <w:rsid w:val="003F02C8"/>
    <w:rsid w:val="003F1753"/>
    <w:rsid w:val="003F34B8"/>
    <w:rsid w:val="003F49F6"/>
    <w:rsid w:val="003F5796"/>
    <w:rsid w:val="003F5976"/>
    <w:rsid w:val="003F5F4D"/>
    <w:rsid w:val="003F7107"/>
    <w:rsid w:val="003F7E15"/>
    <w:rsid w:val="00400595"/>
    <w:rsid w:val="0040064B"/>
    <w:rsid w:val="00400972"/>
    <w:rsid w:val="004015CC"/>
    <w:rsid w:val="00401746"/>
    <w:rsid w:val="00401E63"/>
    <w:rsid w:val="00402048"/>
    <w:rsid w:val="00402151"/>
    <w:rsid w:val="0040234C"/>
    <w:rsid w:val="00402D96"/>
    <w:rsid w:val="00402F47"/>
    <w:rsid w:val="00403078"/>
    <w:rsid w:val="00403277"/>
    <w:rsid w:val="0040377F"/>
    <w:rsid w:val="0040521A"/>
    <w:rsid w:val="0040528E"/>
    <w:rsid w:val="00405329"/>
    <w:rsid w:val="004053EC"/>
    <w:rsid w:val="00405670"/>
    <w:rsid w:val="0040586C"/>
    <w:rsid w:val="00406B1B"/>
    <w:rsid w:val="00407397"/>
    <w:rsid w:val="0040766C"/>
    <w:rsid w:val="004115AF"/>
    <w:rsid w:val="0041175B"/>
    <w:rsid w:val="00411D0C"/>
    <w:rsid w:val="00412A3C"/>
    <w:rsid w:val="004131EB"/>
    <w:rsid w:val="00413CFD"/>
    <w:rsid w:val="00413D25"/>
    <w:rsid w:val="00414533"/>
    <w:rsid w:val="00414D7A"/>
    <w:rsid w:val="00415298"/>
    <w:rsid w:val="004203D3"/>
    <w:rsid w:val="0042086B"/>
    <w:rsid w:val="00420F85"/>
    <w:rsid w:val="00421954"/>
    <w:rsid w:val="00422A9D"/>
    <w:rsid w:val="00422E36"/>
    <w:rsid w:val="0042385D"/>
    <w:rsid w:val="00423B36"/>
    <w:rsid w:val="00423D7A"/>
    <w:rsid w:val="00423EF5"/>
    <w:rsid w:val="00423F22"/>
    <w:rsid w:val="00425C76"/>
    <w:rsid w:val="004271AF"/>
    <w:rsid w:val="00427DE8"/>
    <w:rsid w:val="0043033C"/>
    <w:rsid w:val="0043072A"/>
    <w:rsid w:val="004316C4"/>
    <w:rsid w:val="00432136"/>
    <w:rsid w:val="00433218"/>
    <w:rsid w:val="00433A94"/>
    <w:rsid w:val="0043433A"/>
    <w:rsid w:val="0043465A"/>
    <w:rsid w:val="0043490D"/>
    <w:rsid w:val="0043509A"/>
    <w:rsid w:val="00435502"/>
    <w:rsid w:val="00435CA2"/>
    <w:rsid w:val="00435EB1"/>
    <w:rsid w:val="00436B9A"/>
    <w:rsid w:val="004374FA"/>
    <w:rsid w:val="00437B6A"/>
    <w:rsid w:val="004400A4"/>
    <w:rsid w:val="0044190E"/>
    <w:rsid w:val="00442700"/>
    <w:rsid w:val="00442765"/>
    <w:rsid w:val="004430D0"/>
    <w:rsid w:val="0044361B"/>
    <w:rsid w:val="00444397"/>
    <w:rsid w:val="0044460E"/>
    <w:rsid w:val="00444762"/>
    <w:rsid w:val="00444836"/>
    <w:rsid w:val="00444DBD"/>
    <w:rsid w:val="00444F5F"/>
    <w:rsid w:val="004458DF"/>
    <w:rsid w:val="00445A22"/>
    <w:rsid w:val="0044608B"/>
    <w:rsid w:val="004462EA"/>
    <w:rsid w:val="00446811"/>
    <w:rsid w:val="00446967"/>
    <w:rsid w:val="00447BF0"/>
    <w:rsid w:val="00450343"/>
    <w:rsid w:val="004522DC"/>
    <w:rsid w:val="00452F37"/>
    <w:rsid w:val="004534C6"/>
    <w:rsid w:val="00454E1F"/>
    <w:rsid w:val="00455DB5"/>
    <w:rsid w:val="00455E33"/>
    <w:rsid w:val="00456F06"/>
    <w:rsid w:val="004571B8"/>
    <w:rsid w:val="00457B72"/>
    <w:rsid w:val="00457E8C"/>
    <w:rsid w:val="004604F1"/>
    <w:rsid w:val="00461A44"/>
    <w:rsid w:val="00461D5F"/>
    <w:rsid w:val="00462C21"/>
    <w:rsid w:val="00462C8C"/>
    <w:rsid w:val="004636B2"/>
    <w:rsid w:val="004638A0"/>
    <w:rsid w:val="00463F8E"/>
    <w:rsid w:val="00464A40"/>
    <w:rsid w:val="00465757"/>
    <w:rsid w:val="00465794"/>
    <w:rsid w:val="004659A3"/>
    <w:rsid w:val="00466410"/>
    <w:rsid w:val="0046660B"/>
    <w:rsid w:val="0047070D"/>
    <w:rsid w:val="0047192D"/>
    <w:rsid w:val="00471D25"/>
    <w:rsid w:val="004721B2"/>
    <w:rsid w:val="00472B0B"/>
    <w:rsid w:val="00472D2E"/>
    <w:rsid w:val="00473479"/>
    <w:rsid w:val="00473CB7"/>
    <w:rsid w:val="004744AE"/>
    <w:rsid w:val="00474F37"/>
    <w:rsid w:val="0047616F"/>
    <w:rsid w:val="0047673A"/>
    <w:rsid w:val="00476DCA"/>
    <w:rsid w:val="0047711E"/>
    <w:rsid w:val="004773C8"/>
    <w:rsid w:val="00477BDA"/>
    <w:rsid w:val="00477D52"/>
    <w:rsid w:val="00482548"/>
    <w:rsid w:val="00483039"/>
    <w:rsid w:val="00483B51"/>
    <w:rsid w:val="004844DA"/>
    <w:rsid w:val="00484962"/>
    <w:rsid w:val="004866AD"/>
    <w:rsid w:val="004868B0"/>
    <w:rsid w:val="00487691"/>
    <w:rsid w:val="004908CF"/>
    <w:rsid w:val="00490C81"/>
    <w:rsid w:val="00490F37"/>
    <w:rsid w:val="004919FC"/>
    <w:rsid w:val="00491CA5"/>
    <w:rsid w:val="00491E3A"/>
    <w:rsid w:val="0049204C"/>
    <w:rsid w:val="00492359"/>
    <w:rsid w:val="0049244A"/>
    <w:rsid w:val="00492688"/>
    <w:rsid w:val="0049268E"/>
    <w:rsid w:val="00492777"/>
    <w:rsid w:val="004927F8"/>
    <w:rsid w:val="00493B76"/>
    <w:rsid w:val="00493CA3"/>
    <w:rsid w:val="0049443A"/>
    <w:rsid w:val="00494446"/>
    <w:rsid w:val="004948D9"/>
    <w:rsid w:val="00494D77"/>
    <w:rsid w:val="004953D5"/>
    <w:rsid w:val="004955D2"/>
    <w:rsid w:val="0049692C"/>
    <w:rsid w:val="00497162"/>
    <w:rsid w:val="00497E9E"/>
    <w:rsid w:val="004A0568"/>
    <w:rsid w:val="004A0BCE"/>
    <w:rsid w:val="004A0F7F"/>
    <w:rsid w:val="004A10B1"/>
    <w:rsid w:val="004A1253"/>
    <w:rsid w:val="004A1288"/>
    <w:rsid w:val="004A19C5"/>
    <w:rsid w:val="004A36BC"/>
    <w:rsid w:val="004A445E"/>
    <w:rsid w:val="004A462D"/>
    <w:rsid w:val="004A4BC5"/>
    <w:rsid w:val="004A6EDE"/>
    <w:rsid w:val="004A7DBE"/>
    <w:rsid w:val="004B008A"/>
    <w:rsid w:val="004B0A6A"/>
    <w:rsid w:val="004B11A6"/>
    <w:rsid w:val="004B1964"/>
    <w:rsid w:val="004B19A4"/>
    <w:rsid w:val="004B2AE8"/>
    <w:rsid w:val="004B2BA3"/>
    <w:rsid w:val="004B30A7"/>
    <w:rsid w:val="004B38D4"/>
    <w:rsid w:val="004B3D78"/>
    <w:rsid w:val="004B4056"/>
    <w:rsid w:val="004B54B5"/>
    <w:rsid w:val="004B5A58"/>
    <w:rsid w:val="004B5F5E"/>
    <w:rsid w:val="004B649B"/>
    <w:rsid w:val="004B7EB1"/>
    <w:rsid w:val="004C044A"/>
    <w:rsid w:val="004C0482"/>
    <w:rsid w:val="004C1503"/>
    <w:rsid w:val="004C1A40"/>
    <w:rsid w:val="004C1BEB"/>
    <w:rsid w:val="004C1DAB"/>
    <w:rsid w:val="004C597E"/>
    <w:rsid w:val="004C6C94"/>
    <w:rsid w:val="004C71C0"/>
    <w:rsid w:val="004C7541"/>
    <w:rsid w:val="004C7A68"/>
    <w:rsid w:val="004D0A8B"/>
    <w:rsid w:val="004D12D1"/>
    <w:rsid w:val="004D199C"/>
    <w:rsid w:val="004D206D"/>
    <w:rsid w:val="004D27D3"/>
    <w:rsid w:val="004D2AA5"/>
    <w:rsid w:val="004D393F"/>
    <w:rsid w:val="004D3943"/>
    <w:rsid w:val="004D3AE6"/>
    <w:rsid w:val="004D3B4A"/>
    <w:rsid w:val="004D4093"/>
    <w:rsid w:val="004D46FA"/>
    <w:rsid w:val="004D4E52"/>
    <w:rsid w:val="004D4FA2"/>
    <w:rsid w:val="004D68C9"/>
    <w:rsid w:val="004D6B9A"/>
    <w:rsid w:val="004E014F"/>
    <w:rsid w:val="004E01A2"/>
    <w:rsid w:val="004E06ED"/>
    <w:rsid w:val="004E1CB6"/>
    <w:rsid w:val="004E1DBA"/>
    <w:rsid w:val="004E1EAA"/>
    <w:rsid w:val="004E257E"/>
    <w:rsid w:val="004E2AB7"/>
    <w:rsid w:val="004E2C20"/>
    <w:rsid w:val="004E319A"/>
    <w:rsid w:val="004E3974"/>
    <w:rsid w:val="004E4A35"/>
    <w:rsid w:val="004E5B27"/>
    <w:rsid w:val="004E5D38"/>
    <w:rsid w:val="004E6000"/>
    <w:rsid w:val="004E68B6"/>
    <w:rsid w:val="004E73A3"/>
    <w:rsid w:val="004E750F"/>
    <w:rsid w:val="004E7DAE"/>
    <w:rsid w:val="004F05C1"/>
    <w:rsid w:val="004F0B76"/>
    <w:rsid w:val="004F0BB1"/>
    <w:rsid w:val="004F0E42"/>
    <w:rsid w:val="004F11F5"/>
    <w:rsid w:val="004F14C4"/>
    <w:rsid w:val="004F1F9A"/>
    <w:rsid w:val="004F24FC"/>
    <w:rsid w:val="004F282C"/>
    <w:rsid w:val="004F2A18"/>
    <w:rsid w:val="004F3545"/>
    <w:rsid w:val="004F4B2A"/>
    <w:rsid w:val="004F5AB2"/>
    <w:rsid w:val="004F5FCC"/>
    <w:rsid w:val="004F716A"/>
    <w:rsid w:val="004F71AD"/>
    <w:rsid w:val="0050046C"/>
    <w:rsid w:val="00500F90"/>
    <w:rsid w:val="00501438"/>
    <w:rsid w:val="00501AC0"/>
    <w:rsid w:val="005034DF"/>
    <w:rsid w:val="00503C0A"/>
    <w:rsid w:val="00505C21"/>
    <w:rsid w:val="00505C80"/>
    <w:rsid w:val="00506214"/>
    <w:rsid w:val="00506AA3"/>
    <w:rsid w:val="00506B9C"/>
    <w:rsid w:val="005101CE"/>
    <w:rsid w:val="00510E4A"/>
    <w:rsid w:val="005113DC"/>
    <w:rsid w:val="00512797"/>
    <w:rsid w:val="00512CD4"/>
    <w:rsid w:val="00512EDC"/>
    <w:rsid w:val="00513057"/>
    <w:rsid w:val="00513636"/>
    <w:rsid w:val="00513911"/>
    <w:rsid w:val="00513EE3"/>
    <w:rsid w:val="005145C3"/>
    <w:rsid w:val="00514F58"/>
    <w:rsid w:val="00516BCD"/>
    <w:rsid w:val="00520B8B"/>
    <w:rsid w:val="005212A4"/>
    <w:rsid w:val="00522D3C"/>
    <w:rsid w:val="00523533"/>
    <w:rsid w:val="00523557"/>
    <w:rsid w:val="005249B1"/>
    <w:rsid w:val="00525456"/>
    <w:rsid w:val="00525F9F"/>
    <w:rsid w:val="00526DE2"/>
    <w:rsid w:val="0053063D"/>
    <w:rsid w:val="00530B2A"/>
    <w:rsid w:val="00531446"/>
    <w:rsid w:val="00531FE8"/>
    <w:rsid w:val="00532000"/>
    <w:rsid w:val="00532383"/>
    <w:rsid w:val="00533444"/>
    <w:rsid w:val="00534AA9"/>
    <w:rsid w:val="00535BA3"/>
    <w:rsid w:val="00536B60"/>
    <w:rsid w:val="00540B11"/>
    <w:rsid w:val="0054141A"/>
    <w:rsid w:val="00541FF1"/>
    <w:rsid w:val="00543398"/>
    <w:rsid w:val="00543AD5"/>
    <w:rsid w:val="00543D3A"/>
    <w:rsid w:val="005440EC"/>
    <w:rsid w:val="0054452C"/>
    <w:rsid w:val="00544C30"/>
    <w:rsid w:val="00545E2D"/>
    <w:rsid w:val="005467EB"/>
    <w:rsid w:val="005473FD"/>
    <w:rsid w:val="005504F9"/>
    <w:rsid w:val="00550E35"/>
    <w:rsid w:val="005510FB"/>
    <w:rsid w:val="005518E2"/>
    <w:rsid w:val="0055252A"/>
    <w:rsid w:val="005525D9"/>
    <w:rsid w:val="00552948"/>
    <w:rsid w:val="005531E2"/>
    <w:rsid w:val="005534B3"/>
    <w:rsid w:val="005534D6"/>
    <w:rsid w:val="005545CF"/>
    <w:rsid w:val="005546E6"/>
    <w:rsid w:val="00554830"/>
    <w:rsid w:val="00555974"/>
    <w:rsid w:val="00556111"/>
    <w:rsid w:val="00556482"/>
    <w:rsid w:val="005569B6"/>
    <w:rsid w:val="00556B8F"/>
    <w:rsid w:val="00556E23"/>
    <w:rsid w:val="00557221"/>
    <w:rsid w:val="005573B4"/>
    <w:rsid w:val="005573CC"/>
    <w:rsid w:val="005577C5"/>
    <w:rsid w:val="005605DA"/>
    <w:rsid w:val="00560AF0"/>
    <w:rsid w:val="00560C16"/>
    <w:rsid w:val="00560F5F"/>
    <w:rsid w:val="00561624"/>
    <w:rsid w:val="00561F16"/>
    <w:rsid w:val="00564666"/>
    <w:rsid w:val="00564B61"/>
    <w:rsid w:val="00564D23"/>
    <w:rsid w:val="00565BCE"/>
    <w:rsid w:val="00565E32"/>
    <w:rsid w:val="00567379"/>
    <w:rsid w:val="0056789F"/>
    <w:rsid w:val="00570040"/>
    <w:rsid w:val="0057013B"/>
    <w:rsid w:val="005705C7"/>
    <w:rsid w:val="00573964"/>
    <w:rsid w:val="00574338"/>
    <w:rsid w:val="005747FA"/>
    <w:rsid w:val="00575B39"/>
    <w:rsid w:val="0057604C"/>
    <w:rsid w:val="00576856"/>
    <w:rsid w:val="00576ACF"/>
    <w:rsid w:val="00576BD3"/>
    <w:rsid w:val="00576D60"/>
    <w:rsid w:val="00576D9F"/>
    <w:rsid w:val="00580051"/>
    <w:rsid w:val="005809B2"/>
    <w:rsid w:val="00580B4F"/>
    <w:rsid w:val="005813B1"/>
    <w:rsid w:val="00581D5C"/>
    <w:rsid w:val="00581E2D"/>
    <w:rsid w:val="00582166"/>
    <w:rsid w:val="00582215"/>
    <w:rsid w:val="005824F5"/>
    <w:rsid w:val="0058302D"/>
    <w:rsid w:val="0058335F"/>
    <w:rsid w:val="005833DB"/>
    <w:rsid w:val="00583543"/>
    <w:rsid w:val="0058363D"/>
    <w:rsid w:val="00583B91"/>
    <w:rsid w:val="005841EB"/>
    <w:rsid w:val="00584B72"/>
    <w:rsid w:val="00584E4E"/>
    <w:rsid w:val="00585373"/>
    <w:rsid w:val="00586676"/>
    <w:rsid w:val="00587208"/>
    <w:rsid w:val="005873F9"/>
    <w:rsid w:val="00590504"/>
    <w:rsid w:val="00590723"/>
    <w:rsid w:val="0059081F"/>
    <w:rsid w:val="00591FC0"/>
    <w:rsid w:val="00592EA9"/>
    <w:rsid w:val="00593676"/>
    <w:rsid w:val="005939CA"/>
    <w:rsid w:val="005942B2"/>
    <w:rsid w:val="00594A53"/>
    <w:rsid w:val="00594B24"/>
    <w:rsid w:val="00594C32"/>
    <w:rsid w:val="00595708"/>
    <w:rsid w:val="00595819"/>
    <w:rsid w:val="0059590D"/>
    <w:rsid w:val="00595E7E"/>
    <w:rsid w:val="005964DE"/>
    <w:rsid w:val="0059655F"/>
    <w:rsid w:val="00596BD6"/>
    <w:rsid w:val="00596F0E"/>
    <w:rsid w:val="005976A8"/>
    <w:rsid w:val="00597B3A"/>
    <w:rsid w:val="005A0B0F"/>
    <w:rsid w:val="005A103A"/>
    <w:rsid w:val="005A12E4"/>
    <w:rsid w:val="005A28E9"/>
    <w:rsid w:val="005A3654"/>
    <w:rsid w:val="005A4B53"/>
    <w:rsid w:val="005A516B"/>
    <w:rsid w:val="005A5F61"/>
    <w:rsid w:val="005A6185"/>
    <w:rsid w:val="005A647C"/>
    <w:rsid w:val="005A6C00"/>
    <w:rsid w:val="005A6CB2"/>
    <w:rsid w:val="005B0910"/>
    <w:rsid w:val="005B0BEA"/>
    <w:rsid w:val="005B1DCB"/>
    <w:rsid w:val="005B1F49"/>
    <w:rsid w:val="005B1FB5"/>
    <w:rsid w:val="005B3571"/>
    <w:rsid w:val="005B3F99"/>
    <w:rsid w:val="005B4166"/>
    <w:rsid w:val="005B437C"/>
    <w:rsid w:val="005B57F0"/>
    <w:rsid w:val="005B58B0"/>
    <w:rsid w:val="005B6567"/>
    <w:rsid w:val="005B7C92"/>
    <w:rsid w:val="005C0581"/>
    <w:rsid w:val="005C17AD"/>
    <w:rsid w:val="005C2368"/>
    <w:rsid w:val="005C4383"/>
    <w:rsid w:val="005C4A1F"/>
    <w:rsid w:val="005C4FA4"/>
    <w:rsid w:val="005C5C65"/>
    <w:rsid w:val="005C6457"/>
    <w:rsid w:val="005C68CE"/>
    <w:rsid w:val="005C6ACF"/>
    <w:rsid w:val="005C6E0D"/>
    <w:rsid w:val="005C7357"/>
    <w:rsid w:val="005C76FC"/>
    <w:rsid w:val="005D0946"/>
    <w:rsid w:val="005D162F"/>
    <w:rsid w:val="005D314A"/>
    <w:rsid w:val="005D32CB"/>
    <w:rsid w:val="005D34AF"/>
    <w:rsid w:val="005D5389"/>
    <w:rsid w:val="005D56ED"/>
    <w:rsid w:val="005D5961"/>
    <w:rsid w:val="005D598C"/>
    <w:rsid w:val="005D675F"/>
    <w:rsid w:val="005D68A7"/>
    <w:rsid w:val="005D7158"/>
    <w:rsid w:val="005D79E1"/>
    <w:rsid w:val="005D7F45"/>
    <w:rsid w:val="005E009B"/>
    <w:rsid w:val="005E082A"/>
    <w:rsid w:val="005E0B1F"/>
    <w:rsid w:val="005E16B2"/>
    <w:rsid w:val="005E1D5C"/>
    <w:rsid w:val="005E3641"/>
    <w:rsid w:val="005E459E"/>
    <w:rsid w:val="005E504B"/>
    <w:rsid w:val="005E537B"/>
    <w:rsid w:val="005E57C1"/>
    <w:rsid w:val="005E5998"/>
    <w:rsid w:val="005E5DA5"/>
    <w:rsid w:val="005E5E4A"/>
    <w:rsid w:val="005E6E7F"/>
    <w:rsid w:val="005F0658"/>
    <w:rsid w:val="005F094F"/>
    <w:rsid w:val="005F0E8F"/>
    <w:rsid w:val="005F0F9F"/>
    <w:rsid w:val="005F1F18"/>
    <w:rsid w:val="005F24F2"/>
    <w:rsid w:val="005F28A8"/>
    <w:rsid w:val="005F2FF1"/>
    <w:rsid w:val="005F6798"/>
    <w:rsid w:val="005F6E00"/>
    <w:rsid w:val="005F73B3"/>
    <w:rsid w:val="005F7F38"/>
    <w:rsid w:val="00601128"/>
    <w:rsid w:val="00602379"/>
    <w:rsid w:val="00602636"/>
    <w:rsid w:val="00602719"/>
    <w:rsid w:val="006029EC"/>
    <w:rsid w:val="00602A52"/>
    <w:rsid w:val="006037FC"/>
    <w:rsid w:val="0060380C"/>
    <w:rsid w:val="00603F09"/>
    <w:rsid w:val="006053B3"/>
    <w:rsid w:val="006054AA"/>
    <w:rsid w:val="00607E66"/>
    <w:rsid w:val="00607F39"/>
    <w:rsid w:val="006100A9"/>
    <w:rsid w:val="0061036F"/>
    <w:rsid w:val="006104C3"/>
    <w:rsid w:val="00610E5A"/>
    <w:rsid w:val="006110D1"/>
    <w:rsid w:val="00611518"/>
    <w:rsid w:val="00611E4D"/>
    <w:rsid w:val="00611F0C"/>
    <w:rsid w:val="0061246A"/>
    <w:rsid w:val="006127CD"/>
    <w:rsid w:val="00612B65"/>
    <w:rsid w:val="00612CD8"/>
    <w:rsid w:val="00613BDB"/>
    <w:rsid w:val="0061450F"/>
    <w:rsid w:val="00614BE6"/>
    <w:rsid w:val="00614EF0"/>
    <w:rsid w:val="006160B7"/>
    <w:rsid w:val="00616390"/>
    <w:rsid w:val="006167F3"/>
    <w:rsid w:val="00616C13"/>
    <w:rsid w:val="00616DC4"/>
    <w:rsid w:val="00617081"/>
    <w:rsid w:val="00617D45"/>
    <w:rsid w:val="006201FE"/>
    <w:rsid w:val="006209F2"/>
    <w:rsid w:val="00620DA7"/>
    <w:rsid w:val="00620DF8"/>
    <w:rsid w:val="00620F3B"/>
    <w:rsid w:val="006219AB"/>
    <w:rsid w:val="00622845"/>
    <w:rsid w:val="006229F9"/>
    <w:rsid w:val="00623708"/>
    <w:rsid w:val="00623770"/>
    <w:rsid w:val="00623C73"/>
    <w:rsid w:val="00625D95"/>
    <w:rsid w:val="00625F66"/>
    <w:rsid w:val="00627D0D"/>
    <w:rsid w:val="00627E6C"/>
    <w:rsid w:val="00630866"/>
    <w:rsid w:val="006309CB"/>
    <w:rsid w:val="00630A5B"/>
    <w:rsid w:val="0063121F"/>
    <w:rsid w:val="00631686"/>
    <w:rsid w:val="00631730"/>
    <w:rsid w:val="00631AEC"/>
    <w:rsid w:val="00631CA6"/>
    <w:rsid w:val="00632A5A"/>
    <w:rsid w:val="00632B39"/>
    <w:rsid w:val="00632E4E"/>
    <w:rsid w:val="00633354"/>
    <w:rsid w:val="006333E3"/>
    <w:rsid w:val="0063412C"/>
    <w:rsid w:val="00634B1A"/>
    <w:rsid w:val="00634EDA"/>
    <w:rsid w:val="00634FF9"/>
    <w:rsid w:val="0063795E"/>
    <w:rsid w:val="0064063C"/>
    <w:rsid w:val="00640854"/>
    <w:rsid w:val="00640E88"/>
    <w:rsid w:val="00642497"/>
    <w:rsid w:val="0064256C"/>
    <w:rsid w:val="00642992"/>
    <w:rsid w:val="00643BB9"/>
    <w:rsid w:val="00643DA6"/>
    <w:rsid w:val="00644434"/>
    <w:rsid w:val="006444AA"/>
    <w:rsid w:val="00644813"/>
    <w:rsid w:val="00644A52"/>
    <w:rsid w:val="00645FFC"/>
    <w:rsid w:val="00646C5E"/>
    <w:rsid w:val="0064785C"/>
    <w:rsid w:val="00647F95"/>
    <w:rsid w:val="00650042"/>
    <w:rsid w:val="00650620"/>
    <w:rsid w:val="00650DC8"/>
    <w:rsid w:val="00650E3F"/>
    <w:rsid w:val="006510C9"/>
    <w:rsid w:val="00651447"/>
    <w:rsid w:val="00651480"/>
    <w:rsid w:val="006523EF"/>
    <w:rsid w:val="00652707"/>
    <w:rsid w:val="0065320E"/>
    <w:rsid w:val="006537E7"/>
    <w:rsid w:val="00653990"/>
    <w:rsid w:val="00654819"/>
    <w:rsid w:val="00654E55"/>
    <w:rsid w:val="006551B4"/>
    <w:rsid w:val="0065613B"/>
    <w:rsid w:val="00656F39"/>
    <w:rsid w:val="00657048"/>
    <w:rsid w:val="00661982"/>
    <w:rsid w:val="00661F0E"/>
    <w:rsid w:val="006624BB"/>
    <w:rsid w:val="006629F9"/>
    <w:rsid w:val="00664718"/>
    <w:rsid w:val="00664D69"/>
    <w:rsid w:val="00665334"/>
    <w:rsid w:val="006657A9"/>
    <w:rsid w:val="00665B2E"/>
    <w:rsid w:val="00665CFE"/>
    <w:rsid w:val="00665D82"/>
    <w:rsid w:val="0066651C"/>
    <w:rsid w:val="00667348"/>
    <w:rsid w:val="006678D9"/>
    <w:rsid w:val="00671351"/>
    <w:rsid w:val="006720D7"/>
    <w:rsid w:val="00672F80"/>
    <w:rsid w:val="00672FCB"/>
    <w:rsid w:val="006738FD"/>
    <w:rsid w:val="00673EB7"/>
    <w:rsid w:val="00675152"/>
    <w:rsid w:val="006751DF"/>
    <w:rsid w:val="00675F21"/>
    <w:rsid w:val="00676CDF"/>
    <w:rsid w:val="00677E77"/>
    <w:rsid w:val="00680393"/>
    <w:rsid w:val="0068073D"/>
    <w:rsid w:val="00680B44"/>
    <w:rsid w:val="00681437"/>
    <w:rsid w:val="0068152B"/>
    <w:rsid w:val="006819BA"/>
    <w:rsid w:val="00682845"/>
    <w:rsid w:val="00682F28"/>
    <w:rsid w:val="006834CD"/>
    <w:rsid w:val="006834DA"/>
    <w:rsid w:val="00684ABC"/>
    <w:rsid w:val="0068564C"/>
    <w:rsid w:val="006861ED"/>
    <w:rsid w:val="00686625"/>
    <w:rsid w:val="006879AA"/>
    <w:rsid w:val="006902EE"/>
    <w:rsid w:val="00692E32"/>
    <w:rsid w:val="006930FF"/>
    <w:rsid w:val="0069344B"/>
    <w:rsid w:val="00694076"/>
    <w:rsid w:val="006942D2"/>
    <w:rsid w:val="00694A9D"/>
    <w:rsid w:val="006959D7"/>
    <w:rsid w:val="00695D5F"/>
    <w:rsid w:val="00695FF0"/>
    <w:rsid w:val="00696479"/>
    <w:rsid w:val="0069672F"/>
    <w:rsid w:val="0069688A"/>
    <w:rsid w:val="00696B60"/>
    <w:rsid w:val="00696BCA"/>
    <w:rsid w:val="006A0F48"/>
    <w:rsid w:val="006A1223"/>
    <w:rsid w:val="006A1658"/>
    <w:rsid w:val="006A2191"/>
    <w:rsid w:val="006A223E"/>
    <w:rsid w:val="006A2AD7"/>
    <w:rsid w:val="006A2B0D"/>
    <w:rsid w:val="006A2D79"/>
    <w:rsid w:val="006A4317"/>
    <w:rsid w:val="006A6748"/>
    <w:rsid w:val="006A7667"/>
    <w:rsid w:val="006A79EE"/>
    <w:rsid w:val="006B0B01"/>
    <w:rsid w:val="006B15BB"/>
    <w:rsid w:val="006B1731"/>
    <w:rsid w:val="006B1CC9"/>
    <w:rsid w:val="006B26F1"/>
    <w:rsid w:val="006B2A6D"/>
    <w:rsid w:val="006B3394"/>
    <w:rsid w:val="006B367C"/>
    <w:rsid w:val="006B3E0A"/>
    <w:rsid w:val="006B3E58"/>
    <w:rsid w:val="006B53E8"/>
    <w:rsid w:val="006B65E9"/>
    <w:rsid w:val="006B67EA"/>
    <w:rsid w:val="006B6D41"/>
    <w:rsid w:val="006B729E"/>
    <w:rsid w:val="006B775D"/>
    <w:rsid w:val="006B7C23"/>
    <w:rsid w:val="006C00F9"/>
    <w:rsid w:val="006C0CD9"/>
    <w:rsid w:val="006C1460"/>
    <w:rsid w:val="006C17AD"/>
    <w:rsid w:val="006C18C5"/>
    <w:rsid w:val="006C29DC"/>
    <w:rsid w:val="006C2DCD"/>
    <w:rsid w:val="006C2EFF"/>
    <w:rsid w:val="006C3152"/>
    <w:rsid w:val="006C31BC"/>
    <w:rsid w:val="006C3692"/>
    <w:rsid w:val="006C38DC"/>
    <w:rsid w:val="006C3CBB"/>
    <w:rsid w:val="006C3DB9"/>
    <w:rsid w:val="006C43A0"/>
    <w:rsid w:val="006C48A0"/>
    <w:rsid w:val="006C5CED"/>
    <w:rsid w:val="006C5D11"/>
    <w:rsid w:val="006C6861"/>
    <w:rsid w:val="006C7C4D"/>
    <w:rsid w:val="006C7C77"/>
    <w:rsid w:val="006D04C1"/>
    <w:rsid w:val="006D0F8C"/>
    <w:rsid w:val="006D16A6"/>
    <w:rsid w:val="006D209C"/>
    <w:rsid w:val="006D2CE4"/>
    <w:rsid w:val="006D340A"/>
    <w:rsid w:val="006D44F1"/>
    <w:rsid w:val="006D54EA"/>
    <w:rsid w:val="006D5A64"/>
    <w:rsid w:val="006D5E0B"/>
    <w:rsid w:val="006D7147"/>
    <w:rsid w:val="006D757D"/>
    <w:rsid w:val="006E04FC"/>
    <w:rsid w:val="006E0D02"/>
    <w:rsid w:val="006E0DC7"/>
    <w:rsid w:val="006E23F5"/>
    <w:rsid w:val="006E242D"/>
    <w:rsid w:val="006E2603"/>
    <w:rsid w:val="006E34F0"/>
    <w:rsid w:val="006E3A5D"/>
    <w:rsid w:val="006E4530"/>
    <w:rsid w:val="006E5888"/>
    <w:rsid w:val="006E6C84"/>
    <w:rsid w:val="006E703E"/>
    <w:rsid w:val="006E70E9"/>
    <w:rsid w:val="006E76EA"/>
    <w:rsid w:val="006F095F"/>
    <w:rsid w:val="006F1600"/>
    <w:rsid w:val="006F184A"/>
    <w:rsid w:val="006F1888"/>
    <w:rsid w:val="006F18CC"/>
    <w:rsid w:val="006F1FDB"/>
    <w:rsid w:val="006F23A4"/>
    <w:rsid w:val="006F26DE"/>
    <w:rsid w:val="006F319B"/>
    <w:rsid w:val="006F43C9"/>
    <w:rsid w:val="006F4AE6"/>
    <w:rsid w:val="006F55FF"/>
    <w:rsid w:val="006F60C6"/>
    <w:rsid w:val="006F7519"/>
    <w:rsid w:val="006F7A4F"/>
    <w:rsid w:val="00701692"/>
    <w:rsid w:val="007016DF"/>
    <w:rsid w:val="0070178C"/>
    <w:rsid w:val="0070221C"/>
    <w:rsid w:val="00702869"/>
    <w:rsid w:val="007048DE"/>
    <w:rsid w:val="00704DD5"/>
    <w:rsid w:val="00704E77"/>
    <w:rsid w:val="007056E0"/>
    <w:rsid w:val="00705CB7"/>
    <w:rsid w:val="00706130"/>
    <w:rsid w:val="00706A1F"/>
    <w:rsid w:val="0070739C"/>
    <w:rsid w:val="0070789F"/>
    <w:rsid w:val="00707B15"/>
    <w:rsid w:val="00707B9C"/>
    <w:rsid w:val="00710246"/>
    <w:rsid w:val="007103C3"/>
    <w:rsid w:val="00711EC6"/>
    <w:rsid w:val="00712A04"/>
    <w:rsid w:val="00712D0C"/>
    <w:rsid w:val="00715BD8"/>
    <w:rsid w:val="00715C0C"/>
    <w:rsid w:val="00715D8D"/>
    <w:rsid w:val="00716EAF"/>
    <w:rsid w:val="007174E7"/>
    <w:rsid w:val="00717A53"/>
    <w:rsid w:val="00721E9F"/>
    <w:rsid w:val="0072241D"/>
    <w:rsid w:val="00722F27"/>
    <w:rsid w:val="00723593"/>
    <w:rsid w:val="00724257"/>
    <w:rsid w:val="007251AA"/>
    <w:rsid w:val="00725252"/>
    <w:rsid w:val="00725282"/>
    <w:rsid w:val="00727103"/>
    <w:rsid w:val="007276A8"/>
    <w:rsid w:val="00730C44"/>
    <w:rsid w:val="00730EF0"/>
    <w:rsid w:val="00731638"/>
    <w:rsid w:val="00731B10"/>
    <w:rsid w:val="00731C01"/>
    <w:rsid w:val="0073250A"/>
    <w:rsid w:val="00734038"/>
    <w:rsid w:val="0073434E"/>
    <w:rsid w:val="0073506D"/>
    <w:rsid w:val="0073598D"/>
    <w:rsid w:val="00735BD3"/>
    <w:rsid w:val="00736856"/>
    <w:rsid w:val="00736FF3"/>
    <w:rsid w:val="007378F3"/>
    <w:rsid w:val="007401A0"/>
    <w:rsid w:val="0074280D"/>
    <w:rsid w:val="007429B7"/>
    <w:rsid w:val="00743831"/>
    <w:rsid w:val="00743EC2"/>
    <w:rsid w:val="0074624A"/>
    <w:rsid w:val="0074633C"/>
    <w:rsid w:val="00747477"/>
    <w:rsid w:val="00747A8A"/>
    <w:rsid w:val="00750482"/>
    <w:rsid w:val="00750CF5"/>
    <w:rsid w:val="00751141"/>
    <w:rsid w:val="007511DB"/>
    <w:rsid w:val="00751274"/>
    <w:rsid w:val="00751C1C"/>
    <w:rsid w:val="007525AE"/>
    <w:rsid w:val="00752B8C"/>
    <w:rsid w:val="0075376B"/>
    <w:rsid w:val="00753A32"/>
    <w:rsid w:val="00753E94"/>
    <w:rsid w:val="0075494E"/>
    <w:rsid w:val="00754B24"/>
    <w:rsid w:val="00754FC5"/>
    <w:rsid w:val="007555BE"/>
    <w:rsid w:val="00755C53"/>
    <w:rsid w:val="00755F3F"/>
    <w:rsid w:val="007563DF"/>
    <w:rsid w:val="00756630"/>
    <w:rsid w:val="007567A1"/>
    <w:rsid w:val="00756BF5"/>
    <w:rsid w:val="00756DF3"/>
    <w:rsid w:val="00756FBE"/>
    <w:rsid w:val="0075744F"/>
    <w:rsid w:val="00760004"/>
    <w:rsid w:val="00760AD7"/>
    <w:rsid w:val="00760F88"/>
    <w:rsid w:val="00761715"/>
    <w:rsid w:val="007621E5"/>
    <w:rsid w:val="0076272D"/>
    <w:rsid w:val="007629FA"/>
    <w:rsid w:val="0076359C"/>
    <w:rsid w:val="00763CC5"/>
    <w:rsid w:val="00763D68"/>
    <w:rsid w:val="00763D71"/>
    <w:rsid w:val="00764E93"/>
    <w:rsid w:val="00765000"/>
    <w:rsid w:val="007656F3"/>
    <w:rsid w:val="00766C3E"/>
    <w:rsid w:val="0076748D"/>
    <w:rsid w:val="00767575"/>
    <w:rsid w:val="00767D38"/>
    <w:rsid w:val="007709E3"/>
    <w:rsid w:val="00770A95"/>
    <w:rsid w:val="00770D44"/>
    <w:rsid w:val="0077118F"/>
    <w:rsid w:val="00771B54"/>
    <w:rsid w:val="00771B94"/>
    <w:rsid w:val="007723BA"/>
    <w:rsid w:val="007723BE"/>
    <w:rsid w:val="007725CB"/>
    <w:rsid w:val="00772E37"/>
    <w:rsid w:val="0077350C"/>
    <w:rsid w:val="0077399B"/>
    <w:rsid w:val="00775B7B"/>
    <w:rsid w:val="00775D10"/>
    <w:rsid w:val="0077624B"/>
    <w:rsid w:val="007762E7"/>
    <w:rsid w:val="00776F10"/>
    <w:rsid w:val="007802B6"/>
    <w:rsid w:val="00780371"/>
    <w:rsid w:val="00781579"/>
    <w:rsid w:val="00781763"/>
    <w:rsid w:val="007818FA"/>
    <w:rsid w:val="00782057"/>
    <w:rsid w:val="00782855"/>
    <w:rsid w:val="00782E42"/>
    <w:rsid w:val="007831A3"/>
    <w:rsid w:val="0078322F"/>
    <w:rsid w:val="00783955"/>
    <w:rsid w:val="007841E5"/>
    <w:rsid w:val="00784A22"/>
    <w:rsid w:val="00784B3A"/>
    <w:rsid w:val="00784DDF"/>
    <w:rsid w:val="00784E5A"/>
    <w:rsid w:val="0078531A"/>
    <w:rsid w:val="00787A8D"/>
    <w:rsid w:val="007900BB"/>
    <w:rsid w:val="0079040E"/>
    <w:rsid w:val="00790CD1"/>
    <w:rsid w:val="00791132"/>
    <w:rsid w:val="00791242"/>
    <w:rsid w:val="00791B3D"/>
    <w:rsid w:val="007929FE"/>
    <w:rsid w:val="00792BDD"/>
    <w:rsid w:val="00792DEA"/>
    <w:rsid w:val="0079386D"/>
    <w:rsid w:val="007943DA"/>
    <w:rsid w:val="00794FC1"/>
    <w:rsid w:val="007952C9"/>
    <w:rsid w:val="007962CA"/>
    <w:rsid w:val="007965F1"/>
    <w:rsid w:val="00796A25"/>
    <w:rsid w:val="00796A2F"/>
    <w:rsid w:val="00797557"/>
    <w:rsid w:val="00797B13"/>
    <w:rsid w:val="00797B8C"/>
    <w:rsid w:val="007A037C"/>
    <w:rsid w:val="007A06F8"/>
    <w:rsid w:val="007A0792"/>
    <w:rsid w:val="007A191D"/>
    <w:rsid w:val="007A1D7C"/>
    <w:rsid w:val="007A1D8F"/>
    <w:rsid w:val="007A266B"/>
    <w:rsid w:val="007A3559"/>
    <w:rsid w:val="007A355D"/>
    <w:rsid w:val="007A3D4F"/>
    <w:rsid w:val="007A46DB"/>
    <w:rsid w:val="007A4CA9"/>
    <w:rsid w:val="007A52C8"/>
    <w:rsid w:val="007A5DDF"/>
    <w:rsid w:val="007A6069"/>
    <w:rsid w:val="007A6239"/>
    <w:rsid w:val="007A6A2C"/>
    <w:rsid w:val="007A6E60"/>
    <w:rsid w:val="007A7AE1"/>
    <w:rsid w:val="007A7E10"/>
    <w:rsid w:val="007B076C"/>
    <w:rsid w:val="007B0829"/>
    <w:rsid w:val="007B0CB1"/>
    <w:rsid w:val="007B0DF6"/>
    <w:rsid w:val="007B1DFB"/>
    <w:rsid w:val="007B2157"/>
    <w:rsid w:val="007B2507"/>
    <w:rsid w:val="007B39ED"/>
    <w:rsid w:val="007B3FA1"/>
    <w:rsid w:val="007B40BD"/>
    <w:rsid w:val="007B4E49"/>
    <w:rsid w:val="007B553B"/>
    <w:rsid w:val="007B6108"/>
    <w:rsid w:val="007B6B35"/>
    <w:rsid w:val="007B72E7"/>
    <w:rsid w:val="007B7883"/>
    <w:rsid w:val="007C0217"/>
    <w:rsid w:val="007C06B2"/>
    <w:rsid w:val="007C0ADE"/>
    <w:rsid w:val="007C285F"/>
    <w:rsid w:val="007C2F09"/>
    <w:rsid w:val="007C304B"/>
    <w:rsid w:val="007C3200"/>
    <w:rsid w:val="007C416B"/>
    <w:rsid w:val="007C4533"/>
    <w:rsid w:val="007C499B"/>
    <w:rsid w:val="007C4BAE"/>
    <w:rsid w:val="007C5C7F"/>
    <w:rsid w:val="007C5CCE"/>
    <w:rsid w:val="007C6D6D"/>
    <w:rsid w:val="007C7551"/>
    <w:rsid w:val="007D084C"/>
    <w:rsid w:val="007D0A81"/>
    <w:rsid w:val="007D1B1B"/>
    <w:rsid w:val="007D1B77"/>
    <w:rsid w:val="007D2444"/>
    <w:rsid w:val="007D2949"/>
    <w:rsid w:val="007D2F4C"/>
    <w:rsid w:val="007D3997"/>
    <w:rsid w:val="007D3D35"/>
    <w:rsid w:val="007D4F69"/>
    <w:rsid w:val="007D5021"/>
    <w:rsid w:val="007D5218"/>
    <w:rsid w:val="007D5B65"/>
    <w:rsid w:val="007D6227"/>
    <w:rsid w:val="007D629E"/>
    <w:rsid w:val="007D62D8"/>
    <w:rsid w:val="007D65AB"/>
    <w:rsid w:val="007D6788"/>
    <w:rsid w:val="007D6C6E"/>
    <w:rsid w:val="007D6CD9"/>
    <w:rsid w:val="007D7084"/>
    <w:rsid w:val="007D7426"/>
    <w:rsid w:val="007D7547"/>
    <w:rsid w:val="007D7612"/>
    <w:rsid w:val="007D7822"/>
    <w:rsid w:val="007D79DF"/>
    <w:rsid w:val="007D7A10"/>
    <w:rsid w:val="007E0553"/>
    <w:rsid w:val="007E05BB"/>
    <w:rsid w:val="007E06A1"/>
    <w:rsid w:val="007E0CA2"/>
    <w:rsid w:val="007E1AFC"/>
    <w:rsid w:val="007E209E"/>
    <w:rsid w:val="007E2FB7"/>
    <w:rsid w:val="007E362F"/>
    <w:rsid w:val="007E37F3"/>
    <w:rsid w:val="007E3C2E"/>
    <w:rsid w:val="007E4338"/>
    <w:rsid w:val="007E46A6"/>
    <w:rsid w:val="007E4AFF"/>
    <w:rsid w:val="007E570D"/>
    <w:rsid w:val="007E5A8A"/>
    <w:rsid w:val="007E5BE1"/>
    <w:rsid w:val="007E775E"/>
    <w:rsid w:val="007F0AEB"/>
    <w:rsid w:val="007F0D43"/>
    <w:rsid w:val="007F13A9"/>
    <w:rsid w:val="007F1B21"/>
    <w:rsid w:val="007F20F0"/>
    <w:rsid w:val="007F2396"/>
    <w:rsid w:val="007F2B64"/>
    <w:rsid w:val="007F2D0A"/>
    <w:rsid w:val="007F4222"/>
    <w:rsid w:val="007F43BA"/>
    <w:rsid w:val="007F52DE"/>
    <w:rsid w:val="007F5B1A"/>
    <w:rsid w:val="007F6696"/>
    <w:rsid w:val="007F670A"/>
    <w:rsid w:val="007F6D35"/>
    <w:rsid w:val="007F7EAF"/>
    <w:rsid w:val="00800252"/>
    <w:rsid w:val="008003C3"/>
    <w:rsid w:val="008011E1"/>
    <w:rsid w:val="00801385"/>
    <w:rsid w:val="008016B7"/>
    <w:rsid w:val="00801B34"/>
    <w:rsid w:val="0080347F"/>
    <w:rsid w:val="008039C2"/>
    <w:rsid w:val="00803A60"/>
    <w:rsid w:val="00803C9B"/>
    <w:rsid w:val="008049B8"/>
    <w:rsid w:val="00804B80"/>
    <w:rsid w:val="00804C9A"/>
    <w:rsid w:val="00804E6C"/>
    <w:rsid w:val="00805903"/>
    <w:rsid w:val="008062AE"/>
    <w:rsid w:val="008063E2"/>
    <w:rsid w:val="008067B3"/>
    <w:rsid w:val="00806B23"/>
    <w:rsid w:val="0080734B"/>
    <w:rsid w:val="00807AFA"/>
    <w:rsid w:val="00807B60"/>
    <w:rsid w:val="00810CC5"/>
    <w:rsid w:val="00810ED7"/>
    <w:rsid w:val="0081155A"/>
    <w:rsid w:val="0081285F"/>
    <w:rsid w:val="00812A73"/>
    <w:rsid w:val="00812F52"/>
    <w:rsid w:val="00813B0F"/>
    <w:rsid w:val="00813FED"/>
    <w:rsid w:val="00814539"/>
    <w:rsid w:val="00814823"/>
    <w:rsid w:val="00815052"/>
    <w:rsid w:val="0081643B"/>
    <w:rsid w:val="00816459"/>
    <w:rsid w:val="008201BF"/>
    <w:rsid w:val="00820451"/>
    <w:rsid w:val="008206C3"/>
    <w:rsid w:val="0082113F"/>
    <w:rsid w:val="00821D35"/>
    <w:rsid w:val="00822488"/>
    <w:rsid w:val="008234BB"/>
    <w:rsid w:val="0082395F"/>
    <w:rsid w:val="008247AB"/>
    <w:rsid w:val="00824A1C"/>
    <w:rsid w:val="00824BA6"/>
    <w:rsid w:val="008252F2"/>
    <w:rsid w:val="00825B83"/>
    <w:rsid w:val="00826100"/>
    <w:rsid w:val="0082680C"/>
    <w:rsid w:val="0082725C"/>
    <w:rsid w:val="00827B90"/>
    <w:rsid w:val="00827CAB"/>
    <w:rsid w:val="00830281"/>
    <w:rsid w:val="008308A8"/>
    <w:rsid w:val="008308F3"/>
    <w:rsid w:val="00831A1F"/>
    <w:rsid w:val="008326DD"/>
    <w:rsid w:val="00832A97"/>
    <w:rsid w:val="00833C80"/>
    <w:rsid w:val="00833E20"/>
    <w:rsid w:val="008344ED"/>
    <w:rsid w:val="0083481C"/>
    <w:rsid w:val="00834912"/>
    <w:rsid w:val="0083510B"/>
    <w:rsid w:val="008351CD"/>
    <w:rsid w:val="008358BA"/>
    <w:rsid w:val="0083609E"/>
    <w:rsid w:val="008369A3"/>
    <w:rsid w:val="00836AF3"/>
    <w:rsid w:val="00836BF8"/>
    <w:rsid w:val="00840E27"/>
    <w:rsid w:val="00841D4C"/>
    <w:rsid w:val="008420B3"/>
    <w:rsid w:val="008423B0"/>
    <w:rsid w:val="0084259E"/>
    <w:rsid w:val="008427FE"/>
    <w:rsid w:val="00842EC4"/>
    <w:rsid w:val="008430AA"/>
    <w:rsid w:val="00844211"/>
    <w:rsid w:val="0084425C"/>
    <w:rsid w:val="00845412"/>
    <w:rsid w:val="008470CD"/>
    <w:rsid w:val="00847129"/>
    <w:rsid w:val="00847B31"/>
    <w:rsid w:val="0085046C"/>
    <w:rsid w:val="00850648"/>
    <w:rsid w:val="008508C1"/>
    <w:rsid w:val="0085204A"/>
    <w:rsid w:val="008528C4"/>
    <w:rsid w:val="008532B5"/>
    <w:rsid w:val="00853C77"/>
    <w:rsid w:val="008547B1"/>
    <w:rsid w:val="008554DF"/>
    <w:rsid w:val="00855606"/>
    <w:rsid w:val="00855AB6"/>
    <w:rsid w:val="008560EE"/>
    <w:rsid w:val="00856A85"/>
    <w:rsid w:val="00857575"/>
    <w:rsid w:val="0085771A"/>
    <w:rsid w:val="008578AF"/>
    <w:rsid w:val="008578E8"/>
    <w:rsid w:val="00857A68"/>
    <w:rsid w:val="00857FFA"/>
    <w:rsid w:val="00861EEC"/>
    <w:rsid w:val="00863C58"/>
    <w:rsid w:val="0086408E"/>
    <w:rsid w:val="0086469C"/>
    <w:rsid w:val="00864D3A"/>
    <w:rsid w:val="00865285"/>
    <w:rsid w:val="00865A51"/>
    <w:rsid w:val="00865D9E"/>
    <w:rsid w:val="00866192"/>
    <w:rsid w:val="00866C29"/>
    <w:rsid w:val="008674C5"/>
    <w:rsid w:val="00867664"/>
    <w:rsid w:val="008676C0"/>
    <w:rsid w:val="00867A30"/>
    <w:rsid w:val="00867C80"/>
    <w:rsid w:val="00867E3B"/>
    <w:rsid w:val="008704FB"/>
    <w:rsid w:val="00870E13"/>
    <w:rsid w:val="00871774"/>
    <w:rsid w:val="00871D7E"/>
    <w:rsid w:val="00871D8C"/>
    <w:rsid w:val="00872235"/>
    <w:rsid w:val="008724CB"/>
    <w:rsid w:val="00873316"/>
    <w:rsid w:val="00873C61"/>
    <w:rsid w:val="00873E49"/>
    <w:rsid w:val="008742BD"/>
    <w:rsid w:val="0087466A"/>
    <w:rsid w:val="00874C91"/>
    <w:rsid w:val="00875970"/>
    <w:rsid w:val="008759FD"/>
    <w:rsid w:val="008762DA"/>
    <w:rsid w:val="0087649F"/>
    <w:rsid w:val="00876741"/>
    <w:rsid w:val="00876FE8"/>
    <w:rsid w:val="00877411"/>
    <w:rsid w:val="00877415"/>
    <w:rsid w:val="00877777"/>
    <w:rsid w:val="00877A54"/>
    <w:rsid w:val="00880172"/>
    <w:rsid w:val="00880331"/>
    <w:rsid w:val="0088046A"/>
    <w:rsid w:val="00881C1C"/>
    <w:rsid w:val="00881F92"/>
    <w:rsid w:val="00882762"/>
    <w:rsid w:val="00882CE7"/>
    <w:rsid w:val="00883B02"/>
    <w:rsid w:val="00883CB3"/>
    <w:rsid w:val="00884C0C"/>
    <w:rsid w:val="00885366"/>
    <w:rsid w:val="0088584B"/>
    <w:rsid w:val="00885F26"/>
    <w:rsid w:val="00885F62"/>
    <w:rsid w:val="0088619A"/>
    <w:rsid w:val="00886B7E"/>
    <w:rsid w:val="008877BE"/>
    <w:rsid w:val="0088796A"/>
    <w:rsid w:val="0089065A"/>
    <w:rsid w:val="00890AC9"/>
    <w:rsid w:val="00891FAC"/>
    <w:rsid w:val="00892104"/>
    <w:rsid w:val="008925AB"/>
    <w:rsid w:val="00892DBC"/>
    <w:rsid w:val="00892F47"/>
    <w:rsid w:val="00893558"/>
    <w:rsid w:val="008940E1"/>
    <w:rsid w:val="00894ABF"/>
    <w:rsid w:val="00894CF7"/>
    <w:rsid w:val="008955AF"/>
    <w:rsid w:val="00895634"/>
    <w:rsid w:val="00895893"/>
    <w:rsid w:val="008959CF"/>
    <w:rsid w:val="00896148"/>
    <w:rsid w:val="008962E8"/>
    <w:rsid w:val="0089734D"/>
    <w:rsid w:val="008973B1"/>
    <w:rsid w:val="00897498"/>
    <w:rsid w:val="008977CC"/>
    <w:rsid w:val="00897AD6"/>
    <w:rsid w:val="008A05E7"/>
    <w:rsid w:val="008A0F54"/>
    <w:rsid w:val="008A183C"/>
    <w:rsid w:val="008A19B9"/>
    <w:rsid w:val="008A21EA"/>
    <w:rsid w:val="008A26D6"/>
    <w:rsid w:val="008A2C97"/>
    <w:rsid w:val="008A2D84"/>
    <w:rsid w:val="008A4059"/>
    <w:rsid w:val="008A4496"/>
    <w:rsid w:val="008A4BA6"/>
    <w:rsid w:val="008A4F05"/>
    <w:rsid w:val="008A53A6"/>
    <w:rsid w:val="008A59B5"/>
    <w:rsid w:val="008A615E"/>
    <w:rsid w:val="008A6706"/>
    <w:rsid w:val="008A688D"/>
    <w:rsid w:val="008A7045"/>
    <w:rsid w:val="008B099C"/>
    <w:rsid w:val="008B119A"/>
    <w:rsid w:val="008B130B"/>
    <w:rsid w:val="008B2859"/>
    <w:rsid w:val="008B36FB"/>
    <w:rsid w:val="008B3FFB"/>
    <w:rsid w:val="008B411A"/>
    <w:rsid w:val="008B4326"/>
    <w:rsid w:val="008B4985"/>
    <w:rsid w:val="008B4A14"/>
    <w:rsid w:val="008B54C8"/>
    <w:rsid w:val="008B567A"/>
    <w:rsid w:val="008B5A8B"/>
    <w:rsid w:val="008B5BBF"/>
    <w:rsid w:val="008B5EC5"/>
    <w:rsid w:val="008B61C6"/>
    <w:rsid w:val="008B62E0"/>
    <w:rsid w:val="008B64D1"/>
    <w:rsid w:val="008B6C43"/>
    <w:rsid w:val="008B6E76"/>
    <w:rsid w:val="008B71C4"/>
    <w:rsid w:val="008B7753"/>
    <w:rsid w:val="008C00C7"/>
    <w:rsid w:val="008C00DE"/>
    <w:rsid w:val="008C0112"/>
    <w:rsid w:val="008C0BB0"/>
    <w:rsid w:val="008C0C14"/>
    <w:rsid w:val="008C1792"/>
    <w:rsid w:val="008C1CA0"/>
    <w:rsid w:val="008C3788"/>
    <w:rsid w:val="008C3840"/>
    <w:rsid w:val="008C3FDE"/>
    <w:rsid w:val="008C4319"/>
    <w:rsid w:val="008C4779"/>
    <w:rsid w:val="008C4C60"/>
    <w:rsid w:val="008C4EDD"/>
    <w:rsid w:val="008C6024"/>
    <w:rsid w:val="008C6555"/>
    <w:rsid w:val="008C66D7"/>
    <w:rsid w:val="008C73BD"/>
    <w:rsid w:val="008C745D"/>
    <w:rsid w:val="008C7EB5"/>
    <w:rsid w:val="008D081A"/>
    <w:rsid w:val="008D0AE4"/>
    <w:rsid w:val="008D1A74"/>
    <w:rsid w:val="008D1F8D"/>
    <w:rsid w:val="008D30E6"/>
    <w:rsid w:val="008D32EE"/>
    <w:rsid w:val="008D38B7"/>
    <w:rsid w:val="008D4F75"/>
    <w:rsid w:val="008D5CD3"/>
    <w:rsid w:val="008D623F"/>
    <w:rsid w:val="008D6278"/>
    <w:rsid w:val="008D662F"/>
    <w:rsid w:val="008D6838"/>
    <w:rsid w:val="008D6CA7"/>
    <w:rsid w:val="008D6D04"/>
    <w:rsid w:val="008D7192"/>
    <w:rsid w:val="008D727F"/>
    <w:rsid w:val="008D79E1"/>
    <w:rsid w:val="008E02A0"/>
    <w:rsid w:val="008E074E"/>
    <w:rsid w:val="008E11BA"/>
    <w:rsid w:val="008E1447"/>
    <w:rsid w:val="008E245B"/>
    <w:rsid w:val="008E25AA"/>
    <w:rsid w:val="008E331F"/>
    <w:rsid w:val="008E3348"/>
    <w:rsid w:val="008E3EF3"/>
    <w:rsid w:val="008E44E2"/>
    <w:rsid w:val="008E45F7"/>
    <w:rsid w:val="008E4E8A"/>
    <w:rsid w:val="008E5686"/>
    <w:rsid w:val="008E6586"/>
    <w:rsid w:val="008E658F"/>
    <w:rsid w:val="008E76BD"/>
    <w:rsid w:val="008E7922"/>
    <w:rsid w:val="008F0002"/>
    <w:rsid w:val="008F0F5C"/>
    <w:rsid w:val="008F1443"/>
    <w:rsid w:val="008F2502"/>
    <w:rsid w:val="008F3059"/>
    <w:rsid w:val="008F36BB"/>
    <w:rsid w:val="008F3CD4"/>
    <w:rsid w:val="008F4C14"/>
    <w:rsid w:val="008F5695"/>
    <w:rsid w:val="008F5FEF"/>
    <w:rsid w:val="008F6430"/>
    <w:rsid w:val="008F6C7C"/>
    <w:rsid w:val="008F7022"/>
    <w:rsid w:val="009001D5"/>
    <w:rsid w:val="00900678"/>
    <w:rsid w:val="00901032"/>
    <w:rsid w:val="00901524"/>
    <w:rsid w:val="0090207E"/>
    <w:rsid w:val="00902198"/>
    <w:rsid w:val="009034B5"/>
    <w:rsid w:val="0090401C"/>
    <w:rsid w:val="009044C8"/>
    <w:rsid w:val="00904794"/>
    <w:rsid w:val="009049D4"/>
    <w:rsid w:val="00905B2D"/>
    <w:rsid w:val="00906160"/>
    <w:rsid w:val="009071E5"/>
    <w:rsid w:val="00907ABB"/>
    <w:rsid w:val="00907B23"/>
    <w:rsid w:val="00907B6A"/>
    <w:rsid w:val="009107F7"/>
    <w:rsid w:val="009115D7"/>
    <w:rsid w:val="0091175F"/>
    <w:rsid w:val="00911B74"/>
    <w:rsid w:val="009126EB"/>
    <w:rsid w:val="00912C84"/>
    <w:rsid w:val="00912DAF"/>
    <w:rsid w:val="00914444"/>
    <w:rsid w:val="00914996"/>
    <w:rsid w:val="0091791F"/>
    <w:rsid w:val="0091796A"/>
    <w:rsid w:val="00920C1F"/>
    <w:rsid w:val="0092108F"/>
    <w:rsid w:val="00921A9B"/>
    <w:rsid w:val="0092204D"/>
    <w:rsid w:val="00922E24"/>
    <w:rsid w:val="00923055"/>
    <w:rsid w:val="00924280"/>
    <w:rsid w:val="0092462E"/>
    <w:rsid w:val="00924F2B"/>
    <w:rsid w:val="009251DF"/>
    <w:rsid w:val="00925317"/>
    <w:rsid w:val="009259EC"/>
    <w:rsid w:val="00925AF0"/>
    <w:rsid w:val="00926042"/>
    <w:rsid w:val="00926518"/>
    <w:rsid w:val="00926BF0"/>
    <w:rsid w:val="00927604"/>
    <w:rsid w:val="00927C9F"/>
    <w:rsid w:val="00930149"/>
    <w:rsid w:val="00931ADE"/>
    <w:rsid w:val="00931E2D"/>
    <w:rsid w:val="00934365"/>
    <w:rsid w:val="0093457D"/>
    <w:rsid w:val="009351D9"/>
    <w:rsid w:val="009363BB"/>
    <w:rsid w:val="00936480"/>
    <w:rsid w:val="00936EFF"/>
    <w:rsid w:val="00937874"/>
    <w:rsid w:val="00940B4B"/>
    <w:rsid w:val="00940B89"/>
    <w:rsid w:val="00941B79"/>
    <w:rsid w:val="0094225A"/>
    <w:rsid w:val="00943468"/>
    <w:rsid w:val="00943C24"/>
    <w:rsid w:val="00943CEC"/>
    <w:rsid w:val="0094459E"/>
    <w:rsid w:val="00945361"/>
    <w:rsid w:val="00945C7A"/>
    <w:rsid w:val="009460EE"/>
    <w:rsid w:val="009463FC"/>
    <w:rsid w:val="00946842"/>
    <w:rsid w:val="00946DD7"/>
    <w:rsid w:val="0094752C"/>
    <w:rsid w:val="00947869"/>
    <w:rsid w:val="00947EE7"/>
    <w:rsid w:val="00950B53"/>
    <w:rsid w:val="00950CCA"/>
    <w:rsid w:val="00950D5F"/>
    <w:rsid w:val="00951066"/>
    <w:rsid w:val="00951BEB"/>
    <w:rsid w:val="009523B5"/>
    <w:rsid w:val="0095375F"/>
    <w:rsid w:val="00953FE8"/>
    <w:rsid w:val="00954675"/>
    <w:rsid w:val="00955CA8"/>
    <w:rsid w:val="00956B58"/>
    <w:rsid w:val="00957140"/>
    <w:rsid w:val="009574AA"/>
    <w:rsid w:val="00957923"/>
    <w:rsid w:val="00960416"/>
    <w:rsid w:val="009609EB"/>
    <w:rsid w:val="009610F6"/>
    <w:rsid w:val="00961A29"/>
    <w:rsid w:val="00962259"/>
    <w:rsid w:val="009625B0"/>
    <w:rsid w:val="00962B28"/>
    <w:rsid w:val="009631C9"/>
    <w:rsid w:val="00963E91"/>
    <w:rsid w:val="0096414B"/>
    <w:rsid w:val="009641F2"/>
    <w:rsid w:val="00964838"/>
    <w:rsid w:val="0096553A"/>
    <w:rsid w:val="00965755"/>
    <w:rsid w:val="0096575D"/>
    <w:rsid w:val="00965CB6"/>
    <w:rsid w:val="00965DD0"/>
    <w:rsid w:val="0096603C"/>
    <w:rsid w:val="00966D0C"/>
    <w:rsid w:val="00970596"/>
    <w:rsid w:val="009709C8"/>
    <w:rsid w:val="00970A87"/>
    <w:rsid w:val="0097142E"/>
    <w:rsid w:val="00971948"/>
    <w:rsid w:val="00971CDD"/>
    <w:rsid w:val="009722AF"/>
    <w:rsid w:val="0097273A"/>
    <w:rsid w:val="00972A21"/>
    <w:rsid w:val="0097339C"/>
    <w:rsid w:val="00973FED"/>
    <w:rsid w:val="00974739"/>
    <w:rsid w:val="00974D61"/>
    <w:rsid w:val="00975235"/>
    <w:rsid w:val="009760D4"/>
    <w:rsid w:val="009760FC"/>
    <w:rsid w:val="009777CC"/>
    <w:rsid w:val="00977A5D"/>
    <w:rsid w:val="00977C17"/>
    <w:rsid w:val="00980E10"/>
    <w:rsid w:val="00981616"/>
    <w:rsid w:val="00981D57"/>
    <w:rsid w:val="00981D62"/>
    <w:rsid w:val="009828A7"/>
    <w:rsid w:val="00982EE0"/>
    <w:rsid w:val="009838CD"/>
    <w:rsid w:val="00984FE1"/>
    <w:rsid w:val="00985014"/>
    <w:rsid w:val="009851A0"/>
    <w:rsid w:val="00985468"/>
    <w:rsid w:val="00985A54"/>
    <w:rsid w:val="00985A72"/>
    <w:rsid w:val="0098614E"/>
    <w:rsid w:val="009865D1"/>
    <w:rsid w:val="009868BF"/>
    <w:rsid w:val="00986CA4"/>
    <w:rsid w:val="00986F5C"/>
    <w:rsid w:val="009904BE"/>
    <w:rsid w:val="00990CC9"/>
    <w:rsid w:val="0099158F"/>
    <w:rsid w:val="009920DC"/>
    <w:rsid w:val="00992867"/>
    <w:rsid w:val="00993236"/>
    <w:rsid w:val="009937BF"/>
    <w:rsid w:val="00993C9D"/>
    <w:rsid w:val="0099416D"/>
    <w:rsid w:val="009947A3"/>
    <w:rsid w:val="00994A9E"/>
    <w:rsid w:val="00994B89"/>
    <w:rsid w:val="00994F44"/>
    <w:rsid w:val="00995A3F"/>
    <w:rsid w:val="00995C0D"/>
    <w:rsid w:val="00995F80"/>
    <w:rsid w:val="00995FBE"/>
    <w:rsid w:val="00996892"/>
    <w:rsid w:val="009973FE"/>
    <w:rsid w:val="00997705"/>
    <w:rsid w:val="009A0393"/>
    <w:rsid w:val="009A0F1F"/>
    <w:rsid w:val="009A1B5F"/>
    <w:rsid w:val="009A200B"/>
    <w:rsid w:val="009A23C3"/>
    <w:rsid w:val="009A2400"/>
    <w:rsid w:val="009A262B"/>
    <w:rsid w:val="009A2C75"/>
    <w:rsid w:val="009A40A8"/>
    <w:rsid w:val="009A5132"/>
    <w:rsid w:val="009A538A"/>
    <w:rsid w:val="009A5478"/>
    <w:rsid w:val="009A54F2"/>
    <w:rsid w:val="009A618F"/>
    <w:rsid w:val="009A6F63"/>
    <w:rsid w:val="009A7645"/>
    <w:rsid w:val="009A7E7D"/>
    <w:rsid w:val="009B0A1F"/>
    <w:rsid w:val="009B0E3F"/>
    <w:rsid w:val="009B116F"/>
    <w:rsid w:val="009B12E9"/>
    <w:rsid w:val="009B1992"/>
    <w:rsid w:val="009B1CA5"/>
    <w:rsid w:val="009B250A"/>
    <w:rsid w:val="009B26C1"/>
    <w:rsid w:val="009B2F2F"/>
    <w:rsid w:val="009B3643"/>
    <w:rsid w:val="009B398D"/>
    <w:rsid w:val="009B44DE"/>
    <w:rsid w:val="009B483C"/>
    <w:rsid w:val="009B6821"/>
    <w:rsid w:val="009B68BA"/>
    <w:rsid w:val="009B6919"/>
    <w:rsid w:val="009B69D1"/>
    <w:rsid w:val="009B737E"/>
    <w:rsid w:val="009B7498"/>
    <w:rsid w:val="009B7BC4"/>
    <w:rsid w:val="009C0ADD"/>
    <w:rsid w:val="009C2E5B"/>
    <w:rsid w:val="009C3A15"/>
    <w:rsid w:val="009C4449"/>
    <w:rsid w:val="009C45B5"/>
    <w:rsid w:val="009C4E43"/>
    <w:rsid w:val="009C55A5"/>
    <w:rsid w:val="009C635A"/>
    <w:rsid w:val="009C68EF"/>
    <w:rsid w:val="009C7B13"/>
    <w:rsid w:val="009C7DE9"/>
    <w:rsid w:val="009D00CF"/>
    <w:rsid w:val="009D10A9"/>
    <w:rsid w:val="009D140D"/>
    <w:rsid w:val="009D1B41"/>
    <w:rsid w:val="009D2277"/>
    <w:rsid w:val="009D2964"/>
    <w:rsid w:val="009D2C80"/>
    <w:rsid w:val="009D34CB"/>
    <w:rsid w:val="009D34DB"/>
    <w:rsid w:val="009D362E"/>
    <w:rsid w:val="009D3884"/>
    <w:rsid w:val="009D3CE4"/>
    <w:rsid w:val="009D5200"/>
    <w:rsid w:val="009D539B"/>
    <w:rsid w:val="009D5C98"/>
    <w:rsid w:val="009D5FB6"/>
    <w:rsid w:val="009D630F"/>
    <w:rsid w:val="009D677F"/>
    <w:rsid w:val="009D6DA1"/>
    <w:rsid w:val="009E10A5"/>
    <w:rsid w:val="009E10DF"/>
    <w:rsid w:val="009E3943"/>
    <w:rsid w:val="009E3F1B"/>
    <w:rsid w:val="009E5487"/>
    <w:rsid w:val="009E638A"/>
    <w:rsid w:val="009E6EA2"/>
    <w:rsid w:val="009E7768"/>
    <w:rsid w:val="009E79BA"/>
    <w:rsid w:val="009E7A0D"/>
    <w:rsid w:val="009E7F69"/>
    <w:rsid w:val="009F0574"/>
    <w:rsid w:val="009F07A7"/>
    <w:rsid w:val="009F0D1A"/>
    <w:rsid w:val="009F0ED6"/>
    <w:rsid w:val="009F24D3"/>
    <w:rsid w:val="009F41A4"/>
    <w:rsid w:val="009F498B"/>
    <w:rsid w:val="009F56FC"/>
    <w:rsid w:val="009F59DD"/>
    <w:rsid w:val="009F5A91"/>
    <w:rsid w:val="009F5F59"/>
    <w:rsid w:val="009F700E"/>
    <w:rsid w:val="009F7942"/>
    <w:rsid w:val="009F7D74"/>
    <w:rsid w:val="00A00975"/>
    <w:rsid w:val="00A0105B"/>
    <w:rsid w:val="00A01DA0"/>
    <w:rsid w:val="00A02330"/>
    <w:rsid w:val="00A02B4D"/>
    <w:rsid w:val="00A02F56"/>
    <w:rsid w:val="00A03021"/>
    <w:rsid w:val="00A03A2B"/>
    <w:rsid w:val="00A04E7E"/>
    <w:rsid w:val="00A04FD8"/>
    <w:rsid w:val="00A05A56"/>
    <w:rsid w:val="00A06811"/>
    <w:rsid w:val="00A06D7F"/>
    <w:rsid w:val="00A07928"/>
    <w:rsid w:val="00A07EF9"/>
    <w:rsid w:val="00A10F7A"/>
    <w:rsid w:val="00A11581"/>
    <w:rsid w:val="00A11E83"/>
    <w:rsid w:val="00A12EC2"/>
    <w:rsid w:val="00A1308D"/>
    <w:rsid w:val="00A139F5"/>
    <w:rsid w:val="00A13F97"/>
    <w:rsid w:val="00A14509"/>
    <w:rsid w:val="00A147A7"/>
    <w:rsid w:val="00A148E2"/>
    <w:rsid w:val="00A14E43"/>
    <w:rsid w:val="00A15DA8"/>
    <w:rsid w:val="00A16BC1"/>
    <w:rsid w:val="00A1700A"/>
    <w:rsid w:val="00A1756B"/>
    <w:rsid w:val="00A176D8"/>
    <w:rsid w:val="00A17A77"/>
    <w:rsid w:val="00A17E46"/>
    <w:rsid w:val="00A20975"/>
    <w:rsid w:val="00A2136B"/>
    <w:rsid w:val="00A21A17"/>
    <w:rsid w:val="00A22985"/>
    <w:rsid w:val="00A23A34"/>
    <w:rsid w:val="00A23E0E"/>
    <w:rsid w:val="00A24038"/>
    <w:rsid w:val="00A244F3"/>
    <w:rsid w:val="00A2473C"/>
    <w:rsid w:val="00A248B6"/>
    <w:rsid w:val="00A24D06"/>
    <w:rsid w:val="00A252B6"/>
    <w:rsid w:val="00A25357"/>
    <w:rsid w:val="00A2637F"/>
    <w:rsid w:val="00A2678A"/>
    <w:rsid w:val="00A27D1B"/>
    <w:rsid w:val="00A27DC1"/>
    <w:rsid w:val="00A30750"/>
    <w:rsid w:val="00A30B0C"/>
    <w:rsid w:val="00A3105A"/>
    <w:rsid w:val="00A3165F"/>
    <w:rsid w:val="00A32274"/>
    <w:rsid w:val="00A32293"/>
    <w:rsid w:val="00A33EE6"/>
    <w:rsid w:val="00A3591F"/>
    <w:rsid w:val="00A35A7A"/>
    <w:rsid w:val="00A35AFE"/>
    <w:rsid w:val="00A35BCA"/>
    <w:rsid w:val="00A35F6F"/>
    <w:rsid w:val="00A36869"/>
    <w:rsid w:val="00A36FE1"/>
    <w:rsid w:val="00A37273"/>
    <w:rsid w:val="00A401F8"/>
    <w:rsid w:val="00A406D7"/>
    <w:rsid w:val="00A40902"/>
    <w:rsid w:val="00A40F7F"/>
    <w:rsid w:val="00A41877"/>
    <w:rsid w:val="00A42D0E"/>
    <w:rsid w:val="00A42F6E"/>
    <w:rsid w:val="00A43423"/>
    <w:rsid w:val="00A43A27"/>
    <w:rsid w:val="00A43CF9"/>
    <w:rsid w:val="00A43EA4"/>
    <w:rsid w:val="00A4551B"/>
    <w:rsid w:val="00A47024"/>
    <w:rsid w:val="00A5078A"/>
    <w:rsid w:val="00A50E28"/>
    <w:rsid w:val="00A51838"/>
    <w:rsid w:val="00A52D51"/>
    <w:rsid w:val="00A533BE"/>
    <w:rsid w:val="00A54313"/>
    <w:rsid w:val="00A548D4"/>
    <w:rsid w:val="00A55EBE"/>
    <w:rsid w:val="00A566DE"/>
    <w:rsid w:val="00A57121"/>
    <w:rsid w:val="00A579CD"/>
    <w:rsid w:val="00A57D3A"/>
    <w:rsid w:val="00A57DE1"/>
    <w:rsid w:val="00A60938"/>
    <w:rsid w:val="00A616CE"/>
    <w:rsid w:val="00A61C2B"/>
    <w:rsid w:val="00A62669"/>
    <w:rsid w:val="00A629B6"/>
    <w:rsid w:val="00A6302A"/>
    <w:rsid w:val="00A63F78"/>
    <w:rsid w:val="00A64525"/>
    <w:rsid w:val="00A647C1"/>
    <w:rsid w:val="00A64E99"/>
    <w:rsid w:val="00A6522D"/>
    <w:rsid w:val="00A65485"/>
    <w:rsid w:val="00A65EF7"/>
    <w:rsid w:val="00A660A7"/>
    <w:rsid w:val="00A66B0A"/>
    <w:rsid w:val="00A715CA"/>
    <w:rsid w:val="00A71702"/>
    <w:rsid w:val="00A71CCB"/>
    <w:rsid w:val="00A71CF6"/>
    <w:rsid w:val="00A7239F"/>
    <w:rsid w:val="00A72A98"/>
    <w:rsid w:val="00A73825"/>
    <w:rsid w:val="00A73AC6"/>
    <w:rsid w:val="00A73EE1"/>
    <w:rsid w:val="00A74078"/>
    <w:rsid w:val="00A7465E"/>
    <w:rsid w:val="00A748A7"/>
    <w:rsid w:val="00A74AF9"/>
    <w:rsid w:val="00A75067"/>
    <w:rsid w:val="00A7535A"/>
    <w:rsid w:val="00A75730"/>
    <w:rsid w:val="00A75C72"/>
    <w:rsid w:val="00A761CF"/>
    <w:rsid w:val="00A76561"/>
    <w:rsid w:val="00A768EB"/>
    <w:rsid w:val="00A76C7E"/>
    <w:rsid w:val="00A77207"/>
    <w:rsid w:val="00A77747"/>
    <w:rsid w:val="00A777AA"/>
    <w:rsid w:val="00A77F8C"/>
    <w:rsid w:val="00A81ED7"/>
    <w:rsid w:val="00A82590"/>
    <w:rsid w:val="00A835FC"/>
    <w:rsid w:val="00A838BF"/>
    <w:rsid w:val="00A83A2E"/>
    <w:rsid w:val="00A84C3C"/>
    <w:rsid w:val="00A850AB"/>
    <w:rsid w:val="00A86185"/>
    <w:rsid w:val="00A863E3"/>
    <w:rsid w:val="00A86CE9"/>
    <w:rsid w:val="00A86E2F"/>
    <w:rsid w:val="00A87A6F"/>
    <w:rsid w:val="00A87D26"/>
    <w:rsid w:val="00A90A18"/>
    <w:rsid w:val="00A90BCE"/>
    <w:rsid w:val="00A90D96"/>
    <w:rsid w:val="00A912FD"/>
    <w:rsid w:val="00A92230"/>
    <w:rsid w:val="00A92716"/>
    <w:rsid w:val="00A92B75"/>
    <w:rsid w:val="00A92DF9"/>
    <w:rsid w:val="00A93FF9"/>
    <w:rsid w:val="00A966E9"/>
    <w:rsid w:val="00A96C24"/>
    <w:rsid w:val="00A97660"/>
    <w:rsid w:val="00AA0C16"/>
    <w:rsid w:val="00AA13B6"/>
    <w:rsid w:val="00AA1603"/>
    <w:rsid w:val="00AA2497"/>
    <w:rsid w:val="00AA311F"/>
    <w:rsid w:val="00AA3973"/>
    <w:rsid w:val="00AA3E41"/>
    <w:rsid w:val="00AA3F4A"/>
    <w:rsid w:val="00AA3F72"/>
    <w:rsid w:val="00AA3F97"/>
    <w:rsid w:val="00AA4843"/>
    <w:rsid w:val="00AA4A74"/>
    <w:rsid w:val="00AA5565"/>
    <w:rsid w:val="00AA5575"/>
    <w:rsid w:val="00AA58AC"/>
    <w:rsid w:val="00AA63AF"/>
    <w:rsid w:val="00AA64E7"/>
    <w:rsid w:val="00AA690C"/>
    <w:rsid w:val="00AA6E5A"/>
    <w:rsid w:val="00AA7F47"/>
    <w:rsid w:val="00AB0925"/>
    <w:rsid w:val="00AB2016"/>
    <w:rsid w:val="00AB2617"/>
    <w:rsid w:val="00AB2804"/>
    <w:rsid w:val="00AB2BE3"/>
    <w:rsid w:val="00AB3B48"/>
    <w:rsid w:val="00AB425F"/>
    <w:rsid w:val="00AB44B3"/>
    <w:rsid w:val="00AB5115"/>
    <w:rsid w:val="00AB5D0B"/>
    <w:rsid w:val="00AB6C0C"/>
    <w:rsid w:val="00AB6F2C"/>
    <w:rsid w:val="00AB79E9"/>
    <w:rsid w:val="00AB7FA2"/>
    <w:rsid w:val="00AC0B40"/>
    <w:rsid w:val="00AC0F5B"/>
    <w:rsid w:val="00AC10BA"/>
    <w:rsid w:val="00AC1333"/>
    <w:rsid w:val="00AC1E48"/>
    <w:rsid w:val="00AC25E2"/>
    <w:rsid w:val="00AC2733"/>
    <w:rsid w:val="00AC3159"/>
    <w:rsid w:val="00AC488C"/>
    <w:rsid w:val="00AC49E8"/>
    <w:rsid w:val="00AC600F"/>
    <w:rsid w:val="00AC7B83"/>
    <w:rsid w:val="00AC7E9B"/>
    <w:rsid w:val="00AC7FBD"/>
    <w:rsid w:val="00AD07B9"/>
    <w:rsid w:val="00AD0836"/>
    <w:rsid w:val="00AD0A8F"/>
    <w:rsid w:val="00AD10C9"/>
    <w:rsid w:val="00AD1118"/>
    <w:rsid w:val="00AD12E9"/>
    <w:rsid w:val="00AD170B"/>
    <w:rsid w:val="00AD22E8"/>
    <w:rsid w:val="00AD2332"/>
    <w:rsid w:val="00AD23AB"/>
    <w:rsid w:val="00AD2414"/>
    <w:rsid w:val="00AD2630"/>
    <w:rsid w:val="00AD2AD1"/>
    <w:rsid w:val="00AD2BA3"/>
    <w:rsid w:val="00AD3357"/>
    <w:rsid w:val="00AD3901"/>
    <w:rsid w:val="00AD3916"/>
    <w:rsid w:val="00AD3EC4"/>
    <w:rsid w:val="00AD4157"/>
    <w:rsid w:val="00AD418C"/>
    <w:rsid w:val="00AD4783"/>
    <w:rsid w:val="00AD4843"/>
    <w:rsid w:val="00AD4E15"/>
    <w:rsid w:val="00AD51EC"/>
    <w:rsid w:val="00AD5661"/>
    <w:rsid w:val="00AD5B26"/>
    <w:rsid w:val="00AD5E90"/>
    <w:rsid w:val="00AD5FAB"/>
    <w:rsid w:val="00AD6C11"/>
    <w:rsid w:val="00AE1C25"/>
    <w:rsid w:val="00AE1EB3"/>
    <w:rsid w:val="00AE2288"/>
    <w:rsid w:val="00AE27C7"/>
    <w:rsid w:val="00AE283A"/>
    <w:rsid w:val="00AE3019"/>
    <w:rsid w:val="00AE303E"/>
    <w:rsid w:val="00AE30BA"/>
    <w:rsid w:val="00AE36C7"/>
    <w:rsid w:val="00AE3845"/>
    <w:rsid w:val="00AE4195"/>
    <w:rsid w:val="00AE45A7"/>
    <w:rsid w:val="00AE460C"/>
    <w:rsid w:val="00AE5D40"/>
    <w:rsid w:val="00AE716D"/>
    <w:rsid w:val="00AE75DA"/>
    <w:rsid w:val="00AE7867"/>
    <w:rsid w:val="00AE7C02"/>
    <w:rsid w:val="00AF0858"/>
    <w:rsid w:val="00AF0C3A"/>
    <w:rsid w:val="00AF1009"/>
    <w:rsid w:val="00AF124B"/>
    <w:rsid w:val="00AF1C3B"/>
    <w:rsid w:val="00AF1C69"/>
    <w:rsid w:val="00AF1E30"/>
    <w:rsid w:val="00AF21DE"/>
    <w:rsid w:val="00AF2CCD"/>
    <w:rsid w:val="00AF4984"/>
    <w:rsid w:val="00AF4C54"/>
    <w:rsid w:val="00AF5511"/>
    <w:rsid w:val="00AF59A6"/>
    <w:rsid w:val="00AF5F66"/>
    <w:rsid w:val="00AF6869"/>
    <w:rsid w:val="00AF6D84"/>
    <w:rsid w:val="00AF7313"/>
    <w:rsid w:val="00AF7DD9"/>
    <w:rsid w:val="00B00305"/>
    <w:rsid w:val="00B005E9"/>
    <w:rsid w:val="00B0172D"/>
    <w:rsid w:val="00B018CA"/>
    <w:rsid w:val="00B024CB"/>
    <w:rsid w:val="00B02558"/>
    <w:rsid w:val="00B0309A"/>
    <w:rsid w:val="00B030E5"/>
    <w:rsid w:val="00B0328A"/>
    <w:rsid w:val="00B03325"/>
    <w:rsid w:val="00B0550D"/>
    <w:rsid w:val="00B05598"/>
    <w:rsid w:val="00B05D31"/>
    <w:rsid w:val="00B062C4"/>
    <w:rsid w:val="00B066BC"/>
    <w:rsid w:val="00B06B91"/>
    <w:rsid w:val="00B06FA2"/>
    <w:rsid w:val="00B07049"/>
    <w:rsid w:val="00B10561"/>
    <w:rsid w:val="00B106A1"/>
    <w:rsid w:val="00B108D4"/>
    <w:rsid w:val="00B1134A"/>
    <w:rsid w:val="00B11484"/>
    <w:rsid w:val="00B12A04"/>
    <w:rsid w:val="00B12CDF"/>
    <w:rsid w:val="00B13A6D"/>
    <w:rsid w:val="00B13A82"/>
    <w:rsid w:val="00B13FD4"/>
    <w:rsid w:val="00B143FB"/>
    <w:rsid w:val="00B14908"/>
    <w:rsid w:val="00B14C2F"/>
    <w:rsid w:val="00B150D0"/>
    <w:rsid w:val="00B150D2"/>
    <w:rsid w:val="00B159E8"/>
    <w:rsid w:val="00B16B83"/>
    <w:rsid w:val="00B17024"/>
    <w:rsid w:val="00B171C0"/>
    <w:rsid w:val="00B1776D"/>
    <w:rsid w:val="00B17ED1"/>
    <w:rsid w:val="00B201C8"/>
    <w:rsid w:val="00B204DD"/>
    <w:rsid w:val="00B2112E"/>
    <w:rsid w:val="00B215C9"/>
    <w:rsid w:val="00B21AB3"/>
    <w:rsid w:val="00B22170"/>
    <w:rsid w:val="00B259CF"/>
    <w:rsid w:val="00B25F5B"/>
    <w:rsid w:val="00B26554"/>
    <w:rsid w:val="00B265F1"/>
    <w:rsid w:val="00B26CD2"/>
    <w:rsid w:val="00B26DD4"/>
    <w:rsid w:val="00B27300"/>
    <w:rsid w:val="00B27727"/>
    <w:rsid w:val="00B30076"/>
    <w:rsid w:val="00B3337E"/>
    <w:rsid w:val="00B3364C"/>
    <w:rsid w:val="00B33657"/>
    <w:rsid w:val="00B33B1E"/>
    <w:rsid w:val="00B33C86"/>
    <w:rsid w:val="00B342C8"/>
    <w:rsid w:val="00B3467C"/>
    <w:rsid w:val="00B3536E"/>
    <w:rsid w:val="00B359E0"/>
    <w:rsid w:val="00B366C4"/>
    <w:rsid w:val="00B37684"/>
    <w:rsid w:val="00B4167F"/>
    <w:rsid w:val="00B420F1"/>
    <w:rsid w:val="00B42667"/>
    <w:rsid w:val="00B42CBB"/>
    <w:rsid w:val="00B43188"/>
    <w:rsid w:val="00B4325D"/>
    <w:rsid w:val="00B43A05"/>
    <w:rsid w:val="00B4425B"/>
    <w:rsid w:val="00B44393"/>
    <w:rsid w:val="00B445EF"/>
    <w:rsid w:val="00B44F80"/>
    <w:rsid w:val="00B453A5"/>
    <w:rsid w:val="00B457DE"/>
    <w:rsid w:val="00B462D5"/>
    <w:rsid w:val="00B47D48"/>
    <w:rsid w:val="00B5090E"/>
    <w:rsid w:val="00B5244E"/>
    <w:rsid w:val="00B52D68"/>
    <w:rsid w:val="00B535EC"/>
    <w:rsid w:val="00B53D3B"/>
    <w:rsid w:val="00B559FD"/>
    <w:rsid w:val="00B55CA9"/>
    <w:rsid w:val="00B55F76"/>
    <w:rsid w:val="00B55FFC"/>
    <w:rsid w:val="00B5604B"/>
    <w:rsid w:val="00B56696"/>
    <w:rsid w:val="00B56FB8"/>
    <w:rsid w:val="00B602A8"/>
    <w:rsid w:val="00B6067A"/>
    <w:rsid w:val="00B60C1C"/>
    <w:rsid w:val="00B60E82"/>
    <w:rsid w:val="00B60FD8"/>
    <w:rsid w:val="00B61395"/>
    <w:rsid w:val="00B613D8"/>
    <w:rsid w:val="00B6187A"/>
    <w:rsid w:val="00B62046"/>
    <w:rsid w:val="00B622A9"/>
    <w:rsid w:val="00B62D47"/>
    <w:rsid w:val="00B63128"/>
    <w:rsid w:val="00B6349B"/>
    <w:rsid w:val="00B63D3F"/>
    <w:rsid w:val="00B649AF"/>
    <w:rsid w:val="00B64BE8"/>
    <w:rsid w:val="00B64EBF"/>
    <w:rsid w:val="00B66C14"/>
    <w:rsid w:val="00B66EC4"/>
    <w:rsid w:val="00B67251"/>
    <w:rsid w:val="00B716BC"/>
    <w:rsid w:val="00B72177"/>
    <w:rsid w:val="00B739EB"/>
    <w:rsid w:val="00B73B4C"/>
    <w:rsid w:val="00B74C46"/>
    <w:rsid w:val="00B75B86"/>
    <w:rsid w:val="00B7602D"/>
    <w:rsid w:val="00B76BEF"/>
    <w:rsid w:val="00B805BE"/>
    <w:rsid w:val="00B80923"/>
    <w:rsid w:val="00B80CEF"/>
    <w:rsid w:val="00B80EB2"/>
    <w:rsid w:val="00B81E25"/>
    <w:rsid w:val="00B81EC7"/>
    <w:rsid w:val="00B82A17"/>
    <w:rsid w:val="00B83456"/>
    <w:rsid w:val="00B85B36"/>
    <w:rsid w:val="00B86155"/>
    <w:rsid w:val="00B861F3"/>
    <w:rsid w:val="00B86976"/>
    <w:rsid w:val="00B86A53"/>
    <w:rsid w:val="00B86B49"/>
    <w:rsid w:val="00B87B26"/>
    <w:rsid w:val="00B87B30"/>
    <w:rsid w:val="00B87C58"/>
    <w:rsid w:val="00B90AA4"/>
    <w:rsid w:val="00B90F9A"/>
    <w:rsid w:val="00B90FC6"/>
    <w:rsid w:val="00B914A0"/>
    <w:rsid w:val="00B91A9E"/>
    <w:rsid w:val="00B91DDB"/>
    <w:rsid w:val="00B924F7"/>
    <w:rsid w:val="00B934A7"/>
    <w:rsid w:val="00B94987"/>
    <w:rsid w:val="00B94B47"/>
    <w:rsid w:val="00B958CD"/>
    <w:rsid w:val="00B95DEF"/>
    <w:rsid w:val="00B964DC"/>
    <w:rsid w:val="00B96C44"/>
    <w:rsid w:val="00BA07E1"/>
    <w:rsid w:val="00BA0AD3"/>
    <w:rsid w:val="00BA166D"/>
    <w:rsid w:val="00BA1C2D"/>
    <w:rsid w:val="00BA2EE1"/>
    <w:rsid w:val="00BA30A0"/>
    <w:rsid w:val="00BA3399"/>
    <w:rsid w:val="00BA3BB6"/>
    <w:rsid w:val="00BA3E36"/>
    <w:rsid w:val="00BA3F34"/>
    <w:rsid w:val="00BA40F2"/>
    <w:rsid w:val="00BA4ECF"/>
    <w:rsid w:val="00BA5260"/>
    <w:rsid w:val="00BA5A1F"/>
    <w:rsid w:val="00BA7112"/>
    <w:rsid w:val="00BA716F"/>
    <w:rsid w:val="00BA7E29"/>
    <w:rsid w:val="00BB0B11"/>
    <w:rsid w:val="00BB1526"/>
    <w:rsid w:val="00BB379A"/>
    <w:rsid w:val="00BB41AB"/>
    <w:rsid w:val="00BB44BF"/>
    <w:rsid w:val="00BB5505"/>
    <w:rsid w:val="00BB5D9B"/>
    <w:rsid w:val="00BB5E86"/>
    <w:rsid w:val="00BB614D"/>
    <w:rsid w:val="00BB640F"/>
    <w:rsid w:val="00BB641B"/>
    <w:rsid w:val="00BB70B2"/>
    <w:rsid w:val="00BB720A"/>
    <w:rsid w:val="00BB7DF6"/>
    <w:rsid w:val="00BC0391"/>
    <w:rsid w:val="00BC1448"/>
    <w:rsid w:val="00BC1595"/>
    <w:rsid w:val="00BC1BD3"/>
    <w:rsid w:val="00BC1F09"/>
    <w:rsid w:val="00BC205D"/>
    <w:rsid w:val="00BC2925"/>
    <w:rsid w:val="00BC3301"/>
    <w:rsid w:val="00BC3E7C"/>
    <w:rsid w:val="00BC585F"/>
    <w:rsid w:val="00BC5B83"/>
    <w:rsid w:val="00BC5F97"/>
    <w:rsid w:val="00BC647C"/>
    <w:rsid w:val="00BC6AF1"/>
    <w:rsid w:val="00BC6BF3"/>
    <w:rsid w:val="00BC74E5"/>
    <w:rsid w:val="00BC77C3"/>
    <w:rsid w:val="00BC7920"/>
    <w:rsid w:val="00BC79E7"/>
    <w:rsid w:val="00BC7C62"/>
    <w:rsid w:val="00BD07C1"/>
    <w:rsid w:val="00BD15E2"/>
    <w:rsid w:val="00BD15F6"/>
    <w:rsid w:val="00BD25DB"/>
    <w:rsid w:val="00BD2E4C"/>
    <w:rsid w:val="00BD35F5"/>
    <w:rsid w:val="00BD4025"/>
    <w:rsid w:val="00BD49E4"/>
    <w:rsid w:val="00BD4A74"/>
    <w:rsid w:val="00BD6DA1"/>
    <w:rsid w:val="00BD7891"/>
    <w:rsid w:val="00BD7FB4"/>
    <w:rsid w:val="00BE0E08"/>
    <w:rsid w:val="00BE22EA"/>
    <w:rsid w:val="00BE294E"/>
    <w:rsid w:val="00BE3781"/>
    <w:rsid w:val="00BE3A9E"/>
    <w:rsid w:val="00BE406F"/>
    <w:rsid w:val="00BE4525"/>
    <w:rsid w:val="00BE49A2"/>
    <w:rsid w:val="00BE4F28"/>
    <w:rsid w:val="00BE4FFD"/>
    <w:rsid w:val="00BE52ED"/>
    <w:rsid w:val="00BE55AF"/>
    <w:rsid w:val="00BE580B"/>
    <w:rsid w:val="00BE5F80"/>
    <w:rsid w:val="00BE730B"/>
    <w:rsid w:val="00BF06F8"/>
    <w:rsid w:val="00BF0759"/>
    <w:rsid w:val="00BF13F6"/>
    <w:rsid w:val="00BF17AF"/>
    <w:rsid w:val="00BF1FD7"/>
    <w:rsid w:val="00BF2A37"/>
    <w:rsid w:val="00BF34B9"/>
    <w:rsid w:val="00BF3C37"/>
    <w:rsid w:val="00BF3E1F"/>
    <w:rsid w:val="00BF47F6"/>
    <w:rsid w:val="00BF56BE"/>
    <w:rsid w:val="00BF5E03"/>
    <w:rsid w:val="00BF65E3"/>
    <w:rsid w:val="00BF7ADD"/>
    <w:rsid w:val="00C00517"/>
    <w:rsid w:val="00C01398"/>
    <w:rsid w:val="00C0239E"/>
    <w:rsid w:val="00C023EB"/>
    <w:rsid w:val="00C0363B"/>
    <w:rsid w:val="00C03738"/>
    <w:rsid w:val="00C03B94"/>
    <w:rsid w:val="00C03EB6"/>
    <w:rsid w:val="00C04654"/>
    <w:rsid w:val="00C04F46"/>
    <w:rsid w:val="00C050B1"/>
    <w:rsid w:val="00C055B0"/>
    <w:rsid w:val="00C055FD"/>
    <w:rsid w:val="00C05700"/>
    <w:rsid w:val="00C061DA"/>
    <w:rsid w:val="00C07335"/>
    <w:rsid w:val="00C075BE"/>
    <w:rsid w:val="00C1008E"/>
    <w:rsid w:val="00C117C5"/>
    <w:rsid w:val="00C11D52"/>
    <w:rsid w:val="00C123E4"/>
    <w:rsid w:val="00C12999"/>
    <w:rsid w:val="00C14FB5"/>
    <w:rsid w:val="00C153E5"/>
    <w:rsid w:val="00C15E82"/>
    <w:rsid w:val="00C15FAF"/>
    <w:rsid w:val="00C16553"/>
    <w:rsid w:val="00C16C31"/>
    <w:rsid w:val="00C17EF7"/>
    <w:rsid w:val="00C202CC"/>
    <w:rsid w:val="00C203E2"/>
    <w:rsid w:val="00C20BB5"/>
    <w:rsid w:val="00C20F35"/>
    <w:rsid w:val="00C214E3"/>
    <w:rsid w:val="00C22570"/>
    <w:rsid w:val="00C22611"/>
    <w:rsid w:val="00C2269A"/>
    <w:rsid w:val="00C228FD"/>
    <w:rsid w:val="00C22E41"/>
    <w:rsid w:val="00C236AB"/>
    <w:rsid w:val="00C23EF4"/>
    <w:rsid w:val="00C24BC6"/>
    <w:rsid w:val="00C255BB"/>
    <w:rsid w:val="00C2597D"/>
    <w:rsid w:val="00C25C98"/>
    <w:rsid w:val="00C262DA"/>
    <w:rsid w:val="00C266D5"/>
    <w:rsid w:val="00C26B12"/>
    <w:rsid w:val="00C26E0B"/>
    <w:rsid w:val="00C27310"/>
    <w:rsid w:val="00C27E82"/>
    <w:rsid w:val="00C27F77"/>
    <w:rsid w:val="00C30048"/>
    <w:rsid w:val="00C30E7B"/>
    <w:rsid w:val="00C31041"/>
    <w:rsid w:val="00C31653"/>
    <w:rsid w:val="00C31F23"/>
    <w:rsid w:val="00C32203"/>
    <w:rsid w:val="00C329DA"/>
    <w:rsid w:val="00C3302D"/>
    <w:rsid w:val="00C334EF"/>
    <w:rsid w:val="00C33BFB"/>
    <w:rsid w:val="00C34550"/>
    <w:rsid w:val="00C349EE"/>
    <w:rsid w:val="00C34B05"/>
    <w:rsid w:val="00C35692"/>
    <w:rsid w:val="00C3569D"/>
    <w:rsid w:val="00C358CF"/>
    <w:rsid w:val="00C359DF"/>
    <w:rsid w:val="00C363E4"/>
    <w:rsid w:val="00C3659E"/>
    <w:rsid w:val="00C40529"/>
    <w:rsid w:val="00C405C1"/>
    <w:rsid w:val="00C4129B"/>
    <w:rsid w:val="00C41AE2"/>
    <w:rsid w:val="00C41BE5"/>
    <w:rsid w:val="00C42CBF"/>
    <w:rsid w:val="00C434FC"/>
    <w:rsid w:val="00C43975"/>
    <w:rsid w:val="00C4469B"/>
    <w:rsid w:val="00C44A7D"/>
    <w:rsid w:val="00C45DF5"/>
    <w:rsid w:val="00C4648E"/>
    <w:rsid w:val="00C467E8"/>
    <w:rsid w:val="00C46E90"/>
    <w:rsid w:val="00C51DDB"/>
    <w:rsid w:val="00C52E12"/>
    <w:rsid w:val="00C53CA1"/>
    <w:rsid w:val="00C5427E"/>
    <w:rsid w:val="00C54326"/>
    <w:rsid w:val="00C547E7"/>
    <w:rsid w:val="00C54C5F"/>
    <w:rsid w:val="00C54FA4"/>
    <w:rsid w:val="00C550D4"/>
    <w:rsid w:val="00C56528"/>
    <w:rsid w:val="00C567D7"/>
    <w:rsid w:val="00C57646"/>
    <w:rsid w:val="00C577AC"/>
    <w:rsid w:val="00C600ED"/>
    <w:rsid w:val="00C604BA"/>
    <w:rsid w:val="00C61192"/>
    <w:rsid w:val="00C614C4"/>
    <w:rsid w:val="00C616F4"/>
    <w:rsid w:val="00C61A76"/>
    <w:rsid w:val="00C629E8"/>
    <w:rsid w:val="00C65809"/>
    <w:rsid w:val="00C65C29"/>
    <w:rsid w:val="00C66288"/>
    <w:rsid w:val="00C6672E"/>
    <w:rsid w:val="00C668DC"/>
    <w:rsid w:val="00C67705"/>
    <w:rsid w:val="00C70488"/>
    <w:rsid w:val="00C70CD0"/>
    <w:rsid w:val="00C70D98"/>
    <w:rsid w:val="00C71065"/>
    <w:rsid w:val="00C71081"/>
    <w:rsid w:val="00C71B83"/>
    <w:rsid w:val="00C71EFE"/>
    <w:rsid w:val="00C72C5D"/>
    <w:rsid w:val="00C73172"/>
    <w:rsid w:val="00C74DD6"/>
    <w:rsid w:val="00C7558A"/>
    <w:rsid w:val="00C75774"/>
    <w:rsid w:val="00C75BF0"/>
    <w:rsid w:val="00C7674E"/>
    <w:rsid w:val="00C76865"/>
    <w:rsid w:val="00C76DF3"/>
    <w:rsid w:val="00C7705D"/>
    <w:rsid w:val="00C77936"/>
    <w:rsid w:val="00C82298"/>
    <w:rsid w:val="00C82D81"/>
    <w:rsid w:val="00C83074"/>
    <w:rsid w:val="00C84089"/>
    <w:rsid w:val="00C846AF"/>
    <w:rsid w:val="00C8498A"/>
    <w:rsid w:val="00C849C3"/>
    <w:rsid w:val="00C84A1C"/>
    <w:rsid w:val="00C853E7"/>
    <w:rsid w:val="00C8560F"/>
    <w:rsid w:val="00C85CDB"/>
    <w:rsid w:val="00C87E85"/>
    <w:rsid w:val="00C90C7C"/>
    <w:rsid w:val="00C90DAA"/>
    <w:rsid w:val="00C91117"/>
    <w:rsid w:val="00C921D4"/>
    <w:rsid w:val="00C92D1F"/>
    <w:rsid w:val="00C92FF9"/>
    <w:rsid w:val="00C93E2C"/>
    <w:rsid w:val="00C93F79"/>
    <w:rsid w:val="00C94290"/>
    <w:rsid w:val="00C95B6C"/>
    <w:rsid w:val="00C960ED"/>
    <w:rsid w:val="00C9663E"/>
    <w:rsid w:val="00C96ACA"/>
    <w:rsid w:val="00C96C39"/>
    <w:rsid w:val="00CA05F6"/>
    <w:rsid w:val="00CA0B6C"/>
    <w:rsid w:val="00CA0CC0"/>
    <w:rsid w:val="00CA1265"/>
    <w:rsid w:val="00CA2B7E"/>
    <w:rsid w:val="00CA2D3F"/>
    <w:rsid w:val="00CA2E66"/>
    <w:rsid w:val="00CA2FFF"/>
    <w:rsid w:val="00CA35B0"/>
    <w:rsid w:val="00CA4283"/>
    <w:rsid w:val="00CA4FEA"/>
    <w:rsid w:val="00CA58EB"/>
    <w:rsid w:val="00CA590F"/>
    <w:rsid w:val="00CA5A38"/>
    <w:rsid w:val="00CA5BA6"/>
    <w:rsid w:val="00CA5D49"/>
    <w:rsid w:val="00CA6022"/>
    <w:rsid w:val="00CA61D5"/>
    <w:rsid w:val="00CA6690"/>
    <w:rsid w:val="00CA66B0"/>
    <w:rsid w:val="00CA66D3"/>
    <w:rsid w:val="00CA6CC4"/>
    <w:rsid w:val="00CB059B"/>
    <w:rsid w:val="00CB10F0"/>
    <w:rsid w:val="00CB1F4B"/>
    <w:rsid w:val="00CB23AE"/>
    <w:rsid w:val="00CB2646"/>
    <w:rsid w:val="00CB3134"/>
    <w:rsid w:val="00CB3228"/>
    <w:rsid w:val="00CB341F"/>
    <w:rsid w:val="00CB369D"/>
    <w:rsid w:val="00CB3D07"/>
    <w:rsid w:val="00CB436B"/>
    <w:rsid w:val="00CB4BB4"/>
    <w:rsid w:val="00CB4DE1"/>
    <w:rsid w:val="00CB51AA"/>
    <w:rsid w:val="00CB5200"/>
    <w:rsid w:val="00CB53DD"/>
    <w:rsid w:val="00CB5A8F"/>
    <w:rsid w:val="00CB6E21"/>
    <w:rsid w:val="00CB7518"/>
    <w:rsid w:val="00CB775B"/>
    <w:rsid w:val="00CB7CC9"/>
    <w:rsid w:val="00CC0BC8"/>
    <w:rsid w:val="00CC0FD6"/>
    <w:rsid w:val="00CC12F6"/>
    <w:rsid w:val="00CC2273"/>
    <w:rsid w:val="00CC2CC1"/>
    <w:rsid w:val="00CC307A"/>
    <w:rsid w:val="00CC4300"/>
    <w:rsid w:val="00CC4DC8"/>
    <w:rsid w:val="00CC5A48"/>
    <w:rsid w:val="00CC64FF"/>
    <w:rsid w:val="00CC6A27"/>
    <w:rsid w:val="00CC7334"/>
    <w:rsid w:val="00CD2BED"/>
    <w:rsid w:val="00CD2E47"/>
    <w:rsid w:val="00CD423C"/>
    <w:rsid w:val="00CD5420"/>
    <w:rsid w:val="00CD5D67"/>
    <w:rsid w:val="00CD73C9"/>
    <w:rsid w:val="00CD75C4"/>
    <w:rsid w:val="00CD7922"/>
    <w:rsid w:val="00CD7DBE"/>
    <w:rsid w:val="00CE04A2"/>
    <w:rsid w:val="00CE086F"/>
    <w:rsid w:val="00CE0AEE"/>
    <w:rsid w:val="00CE152C"/>
    <w:rsid w:val="00CE1AB9"/>
    <w:rsid w:val="00CE1BCA"/>
    <w:rsid w:val="00CE249D"/>
    <w:rsid w:val="00CE2792"/>
    <w:rsid w:val="00CE3087"/>
    <w:rsid w:val="00CE30EE"/>
    <w:rsid w:val="00CE37BA"/>
    <w:rsid w:val="00CE3FF1"/>
    <w:rsid w:val="00CE43C3"/>
    <w:rsid w:val="00CE47ED"/>
    <w:rsid w:val="00CE5112"/>
    <w:rsid w:val="00CE523A"/>
    <w:rsid w:val="00CE5C8B"/>
    <w:rsid w:val="00CE6397"/>
    <w:rsid w:val="00CE6CF3"/>
    <w:rsid w:val="00CE771C"/>
    <w:rsid w:val="00CE77F8"/>
    <w:rsid w:val="00CF038C"/>
    <w:rsid w:val="00CF1238"/>
    <w:rsid w:val="00CF27CB"/>
    <w:rsid w:val="00CF2E72"/>
    <w:rsid w:val="00CF3D2A"/>
    <w:rsid w:val="00CF4069"/>
    <w:rsid w:val="00CF5781"/>
    <w:rsid w:val="00CF5FF2"/>
    <w:rsid w:val="00CF606D"/>
    <w:rsid w:val="00CF67E5"/>
    <w:rsid w:val="00CF6BC9"/>
    <w:rsid w:val="00CF6DF4"/>
    <w:rsid w:val="00CF7263"/>
    <w:rsid w:val="00CF7DE7"/>
    <w:rsid w:val="00D00C66"/>
    <w:rsid w:val="00D01816"/>
    <w:rsid w:val="00D02A43"/>
    <w:rsid w:val="00D03FFA"/>
    <w:rsid w:val="00D04C8A"/>
    <w:rsid w:val="00D0537B"/>
    <w:rsid w:val="00D054CE"/>
    <w:rsid w:val="00D0553C"/>
    <w:rsid w:val="00D05B74"/>
    <w:rsid w:val="00D05F87"/>
    <w:rsid w:val="00D06720"/>
    <w:rsid w:val="00D06F79"/>
    <w:rsid w:val="00D07156"/>
    <w:rsid w:val="00D10D25"/>
    <w:rsid w:val="00D11977"/>
    <w:rsid w:val="00D1222B"/>
    <w:rsid w:val="00D13069"/>
    <w:rsid w:val="00D13856"/>
    <w:rsid w:val="00D13896"/>
    <w:rsid w:val="00D14280"/>
    <w:rsid w:val="00D149F3"/>
    <w:rsid w:val="00D15702"/>
    <w:rsid w:val="00D15A6D"/>
    <w:rsid w:val="00D15FAF"/>
    <w:rsid w:val="00D17433"/>
    <w:rsid w:val="00D17EFF"/>
    <w:rsid w:val="00D20070"/>
    <w:rsid w:val="00D2038B"/>
    <w:rsid w:val="00D224C9"/>
    <w:rsid w:val="00D227F2"/>
    <w:rsid w:val="00D22EE7"/>
    <w:rsid w:val="00D2304A"/>
    <w:rsid w:val="00D231CD"/>
    <w:rsid w:val="00D23788"/>
    <w:rsid w:val="00D247AF"/>
    <w:rsid w:val="00D24805"/>
    <w:rsid w:val="00D248B4"/>
    <w:rsid w:val="00D24A8E"/>
    <w:rsid w:val="00D24DAA"/>
    <w:rsid w:val="00D25F68"/>
    <w:rsid w:val="00D265A6"/>
    <w:rsid w:val="00D267B7"/>
    <w:rsid w:val="00D26F61"/>
    <w:rsid w:val="00D272BD"/>
    <w:rsid w:val="00D27B55"/>
    <w:rsid w:val="00D3069A"/>
    <w:rsid w:val="00D31034"/>
    <w:rsid w:val="00D31151"/>
    <w:rsid w:val="00D333FE"/>
    <w:rsid w:val="00D334EA"/>
    <w:rsid w:val="00D35719"/>
    <w:rsid w:val="00D370EC"/>
    <w:rsid w:val="00D376B8"/>
    <w:rsid w:val="00D37A06"/>
    <w:rsid w:val="00D400F6"/>
    <w:rsid w:val="00D402BB"/>
    <w:rsid w:val="00D41194"/>
    <w:rsid w:val="00D41B87"/>
    <w:rsid w:val="00D431B8"/>
    <w:rsid w:val="00D43BA1"/>
    <w:rsid w:val="00D44A18"/>
    <w:rsid w:val="00D44BD9"/>
    <w:rsid w:val="00D45692"/>
    <w:rsid w:val="00D45F1A"/>
    <w:rsid w:val="00D462DD"/>
    <w:rsid w:val="00D4630F"/>
    <w:rsid w:val="00D46926"/>
    <w:rsid w:val="00D46A30"/>
    <w:rsid w:val="00D46B9D"/>
    <w:rsid w:val="00D46EFD"/>
    <w:rsid w:val="00D47579"/>
    <w:rsid w:val="00D478D9"/>
    <w:rsid w:val="00D4796F"/>
    <w:rsid w:val="00D50278"/>
    <w:rsid w:val="00D50CA8"/>
    <w:rsid w:val="00D516C8"/>
    <w:rsid w:val="00D52237"/>
    <w:rsid w:val="00D5333D"/>
    <w:rsid w:val="00D54CA2"/>
    <w:rsid w:val="00D5541B"/>
    <w:rsid w:val="00D55587"/>
    <w:rsid w:val="00D56517"/>
    <w:rsid w:val="00D57025"/>
    <w:rsid w:val="00D5751C"/>
    <w:rsid w:val="00D57B64"/>
    <w:rsid w:val="00D60E3F"/>
    <w:rsid w:val="00D6145F"/>
    <w:rsid w:val="00D61855"/>
    <w:rsid w:val="00D61D07"/>
    <w:rsid w:val="00D623D5"/>
    <w:rsid w:val="00D624E9"/>
    <w:rsid w:val="00D6277F"/>
    <w:rsid w:val="00D63BA5"/>
    <w:rsid w:val="00D64322"/>
    <w:rsid w:val="00D6489C"/>
    <w:rsid w:val="00D66C94"/>
    <w:rsid w:val="00D67982"/>
    <w:rsid w:val="00D71C6D"/>
    <w:rsid w:val="00D71C76"/>
    <w:rsid w:val="00D722C3"/>
    <w:rsid w:val="00D75139"/>
    <w:rsid w:val="00D75F6D"/>
    <w:rsid w:val="00D771FC"/>
    <w:rsid w:val="00D77E5A"/>
    <w:rsid w:val="00D8060B"/>
    <w:rsid w:val="00D80869"/>
    <w:rsid w:val="00D81046"/>
    <w:rsid w:val="00D810DB"/>
    <w:rsid w:val="00D81246"/>
    <w:rsid w:val="00D818C4"/>
    <w:rsid w:val="00D82315"/>
    <w:rsid w:val="00D828B9"/>
    <w:rsid w:val="00D83650"/>
    <w:rsid w:val="00D83AE2"/>
    <w:rsid w:val="00D83EA9"/>
    <w:rsid w:val="00D83ECD"/>
    <w:rsid w:val="00D84471"/>
    <w:rsid w:val="00D85B11"/>
    <w:rsid w:val="00D85C75"/>
    <w:rsid w:val="00D86DFA"/>
    <w:rsid w:val="00D87024"/>
    <w:rsid w:val="00D87472"/>
    <w:rsid w:val="00D9088D"/>
    <w:rsid w:val="00D91652"/>
    <w:rsid w:val="00D91AA9"/>
    <w:rsid w:val="00D93045"/>
    <w:rsid w:val="00D933D0"/>
    <w:rsid w:val="00D93633"/>
    <w:rsid w:val="00D9375C"/>
    <w:rsid w:val="00D939EC"/>
    <w:rsid w:val="00D93E75"/>
    <w:rsid w:val="00D93EE5"/>
    <w:rsid w:val="00D94C1C"/>
    <w:rsid w:val="00D95F9A"/>
    <w:rsid w:val="00D972EF"/>
    <w:rsid w:val="00D97C51"/>
    <w:rsid w:val="00D97FC0"/>
    <w:rsid w:val="00DA04AE"/>
    <w:rsid w:val="00DA051D"/>
    <w:rsid w:val="00DA1838"/>
    <w:rsid w:val="00DA1F60"/>
    <w:rsid w:val="00DA2BFC"/>
    <w:rsid w:val="00DA4777"/>
    <w:rsid w:val="00DA49B3"/>
    <w:rsid w:val="00DA4C5D"/>
    <w:rsid w:val="00DA4CAF"/>
    <w:rsid w:val="00DA4DDF"/>
    <w:rsid w:val="00DA502E"/>
    <w:rsid w:val="00DA573B"/>
    <w:rsid w:val="00DA58C1"/>
    <w:rsid w:val="00DA5F29"/>
    <w:rsid w:val="00DA5FF5"/>
    <w:rsid w:val="00DA6357"/>
    <w:rsid w:val="00DA6657"/>
    <w:rsid w:val="00DA66A7"/>
    <w:rsid w:val="00DA7148"/>
    <w:rsid w:val="00DB0AE2"/>
    <w:rsid w:val="00DB0CC1"/>
    <w:rsid w:val="00DB0E63"/>
    <w:rsid w:val="00DB1AFB"/>
    <w:rsid w:val="00DB34E4"/>
    <w:rsid w:val="00DB3640"/>
    <w:rsid w:val="00DB3C17"/>
    <w:rsid w:val="00DB4265"/>
    <w:rsid w:val="00DB4586"/>
    <w:rsid w:val="00DB46AE"/>
    <w:rsid w:val="00DB4FF8"/>
    <w:rsid w:val="00DB5638"/>
    <w:rsid w:val="00DB5937"/>
    <w:rsid w:val="00DB6E85"/>
    <w:rsid w:val="00DB7365"/>
    <w:rsid w:val="00DB74EB"/>
    <w:rsid w:val="00DC0CDF"/>
    <w:rsid w:val="00DC0F46"/>
    <w:rsid w:val="00DC13A0"/>
    <w:rsid w:val="00DC14C7"/>
    <w:rsid w:val="00DC16B1"/>
    <w:rsid w:val="00DC1867"/>
    <w:rsid w:val="00DC24FA"/>
    <w:rsid w:val="00DC2B2A"/>
    <w:rsid w:val="00DC2F90"/>
    <w:rsid w:val="00DC46A6"/>
    <w:rsid w:val="00DC47EF"/>
    <w:rsid w:val="00DC49C1"/>
    <w:rsid w:val="00DC4D60"/>
    <w:rsid w:val="00DC53D7"/>
    <w:rsid w:val="00DC54AC"/>
    <w:rsid w:val="00DC5726"/>
    <w:rsid w:val="00DC5949"/>
    <w:rsid w:val="00DC601E"/>
    <w:rsid w:val="00DC67C3"/>
    <w:rsid w:val="00DC6FC1"/>
    <w:rsid w:val="00DC7304"/>
    <w:rsid w:val="00DC7463"/>
    <w:rsid w:val="00DC7E3A"/>
    <w:rsid w:val="00DD0D9D"/>
    <w:rsid w:val="00DD339D"/>
    <w:rsid w:val="00DD3F5B"/>
    <w:rsid w:val="00DD3F61"/>
    <w:rsid w:val="00DD3FEA"/>
    <w:rsid w:val="00DD4142"/>
    <w:rsid w:val="00DD5977"/>
    <w:rsid w:val="00DD72D1"/>
    <w:rsid w:val="00DD7E79"/>
    <w:rsid w:val="00DE0385"/>
    <w:rsid w:val="00DE22A8"/>
    <w:rsid w:val="00DE2356"/>
    <w:rsid w:val="00DE2621"/>
    <w:rsid w:val="00DE2C45"/>
    <w:rsid w:val="00DE31A7"/>
    <w:rsid w:val="00DE4465"/>
    <w:rsid w:val="00DE4870"/>
    <w:rsid w:val="00DE5374"/>
    <w:rsid w:val="00DE567A"/>
    <w:rsid w:val="00DE5BEC"/>
    <w:rsid w:val="00DE5E3C"/>
    <w:rsid w:val="00DE6014"/>
    <w:rsid w:val="00DE6454"/>
    <w:rsid w:val="00DE6812"/>
    <w:rsid w:val="00DE6A91"/>
    <w:rsid w:val="00DF0594"/>
    <w:rsid w:val="00DF18C6"/>
    <w:rsid w:val="00DF28BB"/>
    <w:rsid w:val="00DF392F"/>
    <w:rsid w:val="00DF449E"/>
    <w:rsid w:val="00DF4760"/>
    <w:rsid w:val="00DF4ADA"/>
    <w:rsid w:val="00DF4B0F"/>
    <w:rsid w:val="00DF4ECE"/>
    <w:rsid w:val="00DF51E3"/>
    <w:rsid w:val="00DF57B0"/>
    <w:rsid w:val="00DF591F"/>
    <w:rsid w:val="00DF727D"/>
    <w:rsid w:val="00E002B5"/>
    <w:rsid w:val="00E0031B"/>
    <w:rsid w:val="00E00478"/>
    <w:rsid w:val="00E005EC"/>
    <w:rsid w:val="00E018EB"/>
    <w:rsid w:val="00E029CE"/>
    <w:rsid w:val="00E02A1D"/>
    <w:rsid w:val="00E02B97"/>
    <w:rsid w:val="00E0347B"/>
    <w:rsid w:val="00E04971"/>
    <w:rsid w:val="00E04D29"/>
    <w:rsid w:val="00E05497"/>
    <w:rsid w:val="00E05534"/>
    <w:rsid w:val="00E05622"/>
    <w:rsid w:val="00E063BC"/>
    <w:rsid w:val="00E070B7"/>
    <w:rsid w:val="00E07A33"/>
    <w:rsid w:val="00E10A80"/>
    <w:rsid w:val="00E13072"/>
    <w:rsid w:val="00E132D8"/>
    <w:rsid w:val="00E1356E"/>
    <w:rsid w:val="00E137A9"/>
    <w:rsid w:val="00E13EEC"/>
    <w:rsid w:val="00E13F7F"/>
    <w:rsid w:val="00E1408C"/>
    <w:rsid w:val="00E145B5"/>
    <w:rsid w:val="00E14AB8"/>
    <w:rsid w:val="00E15D6A"/>
    <w:rsid w:val="00E177F2"/>
    <w:rsid w:val="00E20B5E"/>
    <w:rsid w:val="00E20FF6"/>
    <w:rsid w:val="00E210CB"/>
    <w:rsid w:val="00E210E5"/>
    <w:rsid w:val="00E21B00"/>
    <w:rsid w:val="00E21B99"/>
    <w:rsid w:val="00E21E6D"/>
    <w:rsid w:val="00E2217E"/>
    <w:rsid w:val="00E23288"/>
    <w:rsid w:val="00E23D89"/>
    <w:rsid w:val="00E23FFD"/>
    <w:rsid w:val="00E244C7"/>
    <w:rsid w:val="00E2513D"/>
    <w:rsid w:val="00E25450"/>
    <w:rsid w:val="00E257F6"/>
    <w:rsid w:val="00E25C3F"/>
    <w:rsid w:val="00E261E3"/>
    <w:rsid w:val="00E26213"/>
    <w:rsid w:val="00E26D82"/>
    <w:rsid w:val="00E27946"/>
    <w:rsid w:val="00E30650"/>
    <w:rsid w:val="00E30805"/>
    <w:rsid w:val="00E30AE4"/>
    <w:rsid w:val="00E30F66"/>
    <w:rsid w:val="00E31B24"/>
    <w:rsid w:val="00E321D3"/>
    <w:rsid w:val="00E3247A"/>
    <w:rsid w:val="00E327D0"/>
    <w:rsid w:val="00E32859"/>
    <w:rsid w:val="00E32F88"/>
    <w:rsid w:val="00E3380D"/>
    <w:rsid w:val="00E3451F"/>
    <w:rsid w:val="00E347C3"/>
    <w:rsid w:val="00E35CE3"/>
    <w:rsid w:val="00E35E32"/>
    <w:rsid w:val="00E36CFF"/>
    <w:rsid w:val="00E37383"/>
    <w:rsid w:val="00E37968"/>
    <w:rsid w:val="00E40120"/>
    <w:rsid w:val="00E40367"/>
    <w:rsid w:val="00E411CB"/>
    <w:rsid w:val="00E4151D"/>
    <w:rsid w:val="00E41692"/>
    <w:rsid w:val="00E41D9D"/>
    <w:rsid w:val="00E42CFB"/>
    <w:rsid w:val="00E436AC"/>
    <w:rsid w:val="00E43A47"/>
    <w:rsid w:val="00E455E4"/>
    <w:rsid w:val="00E4627A"/>
    <w:rsid w:val="00E4629F"/>
    <w:rsid w:val="00E46AB4"/>
    <w:rsid w:val="00E47419"/>
    <w:rsid w:val="00E474B3"/>
    <w:rsid w:val="00E500C2"/>
    <w:rsid w:val="00E50DD2"/>
    <w:rsid w:val="00E51455"/>
    <w:rsid w:val="00E5170E"/>
    <w:rsid w:val="00E51A97"/>
    <w:rsid w:val="00E52F22"/>
    <w:rsid w:val="00E530DE"/>
    <w:rsid w:val="00E53DD8"/>
    <w:rsid w:val="00E548BE"/>
    <w:rsid w:val="00E54BB3"/>
    <w:rsid w:val="00E55C4A"/>
    <w:rsid w:val="00E56087"/>
    <w:rsid w:val="00E565CA"/>
    <w:rsid w:val="00E56BE2"/>
    <w:rsid w:val="00E56CBD"/>
    <w:rsid w:val="00E57265"/>
    <w:rsid w:val="00E577F9"/>
    <w:rsid w:val="00E579ED"/>
    <w:rsid w:val="00E62500"/>
    <w:rsid w:val="00E6262C"/>
    <w:rsid w:val="00E634AA"/>
    <w:rsid w:val="00E63F2C"/>
    <w:rsid w:val="00E64981"/>
    <w:rsid w:val="00E6563F"/>
    <w:rsid w:val="00E66214"/>
    <w:rsid w:val="00E6675A"/>
    <w:rsid w:val="00E66AC3"/>
    <w:rsid w:val="00E6711D"/>
    <w:rsid w:val="00E674DF"/>
    <w:rsid w:val="00E679D4"/>
    <w:rsid w:val="00E67A29"/>
    <w:rsid w:val="00E67EC4"/>
    <w:rsid w:val="00E702F8"/>
    <w:rsid w:val="00E709CE"/>
    <w:rsid w:val="00E70B3F"/>
    <w:rsid w:val="00E70B5C"/>
    <w:rsid w:val="00E71317"/>
    <w:rsid w:val="00E717A1"/>
    <w:rsid w:val="00E7293C"/>
    <w:rsid w:val="00E73279"/>
    <w:rsid w:val="00E73C36"/>
    <w:rsid w:val="00E74743"/>
    <w:rsid w:val="00E74F43"/>
    <w:rsid w:val="00E75087"/>
    <w:rsid w:val="00E75725"/>
    <w:rsid w:val="00E77FFB"/>
    <w:rsid w:val="00E80806"/>
    <w:rsid w:val="00E80974"/>
    <w:rsid w:val="00E812EA"/>
    <w:rsid w:val="00E81450"/>
    <w:rsid w:val="00E8172E"/>
    <w:rsid w:val="00E829E6"/>
    <w:rsid w:val="00E82B1B"/>
    <w:rsid w:val="00E84D92"/>
    <w:rsid w:val="00E85407"/>
    <w:rsid w:val="00E854BC"/>
    <w:rsid w:val="00E85E31"/>
    <w:rsid w:val="00E8651A"/>
    <w:rsid w:val="00E86B64"/>
    <w:rsid w:val="00E86D8B"/>
    <w:rsid w:val="00E873F6"/>
    <w:rsid w:val="00E87F2F"/>
    <w:rsid w:val="00E90023"/>
    <w:rsid w:val="00E908D4"/>
    <w:rsid w:val="00E90EA3"/>
    <w:rsid w:val="00E93FF3"/>
    <w:rsid w:val="00E94C87"/>
    <w:rsid w:val="00E960D2"/>
    <w:rsid w:val="00E96771"/>
    <w:rsid w:val="00E96E03"/>
    <w:rsid w:val="00E9774C"/>
    <w:rsid w:val="00EA057E"/>
    <w:rsid w:val="00EA11D2"/>
    <w:rsid w:val="00EA18B0"/>
    <w:rsid w:val="00EA2618"/>
    <w:rsid w:val="00EA33A2"/>
    <w:rsid w:val="00EA416C"/>
    <w:rsid w:val="00EA44ED"/>
    <w:rsid w:val="00EA4AA8"/>
    <w:rsid w:val="00EA522B"/>
    <w:rsid w:val="00EA6173"/>
    <w:rsid w:val="00EA677F"/>
    <w:rsid w:val="00EA6875"/>
    <w:rsid w:val="00EA691F"/>
    <w:rsid w:val="00EA6996"/>
    <w:rsid w:val="00EA6AE8"/>
    <w:rsid w:val="00EA7CCC"/>
    <w:rsid w:val="00EA7F2A"/>
    <w:rsid w:val="00EB1537"/>
    <w:rsid w:val="00EB1598"/>
    <w:rsid w:val="00EB2CC4"/>
    <w:rsid w:val="00EB3D48"/>
    <w:rsid w:val="00EB483A"/>
    <w:rsid w:val="00EB4957"/>
    <w:rsid w:val="00EB4F12"/>
    <w:rsid w:val="00EB694C"/>
    <w:rsid w:val="00EB7443"/>
    <w:rsid w:val="00EB7C49"/>
    <w:rsid w:val="00EC0181"/>
    <w:rsid w:val="00EC1472"/>
    <w:rsid w:val="00EC20E8"/>
    <w:rsid w:val="00EC25BC"/>
    <w:rsid w:val="00EC2907"/>
    <w:rsid w:val="00EC2E96"/>
    <w:rsid w:val="00EC2EB2"/>
    <w:rsid w:val="00EC3413"/>
    <w:rsid w:val="00EC3479"/>
    <w:rsid w:val="00EC43FF"/>
    <w:rsid w:val="00EC49BF"/>
    <w:rsid w:val="00EC4C93"/>
    <w:rsid w:val="00EC5616"/>
    <w:rsid w:val="00EC5B72"/>
    <w:rsid w:val="00EC6834"/>
    <w:rsid w:val="00EC6AB9"/>
    <w:rsid w:val="00EC7CEB"/>
    <w:rsid w:val="00EC7FB1"/>
    <w:rsid w:val="00ED08ED"/>
    <w:rsid w:val="00ED09FC"/>
    <w:rsid w:val="00ED0ACE"/>
    <w:rsid w:val="00ED1011"/>
    <w:rsid w:val="00ED14D2"/>
    <w:rsid w:val="00ED18E4"/>
    <w:rsid w:val="00ED24AE"/>
    <w:rsid w:val="00ED2A02"/>
    <w:rsid w:val="00ED2EF0"/>
    <w:rsid w:val="00ED37D3"/>
    <w:rsid w:val="00ED38DB"/>
    <w:rsid w:val="00ED447E"/>
    <w:rsid w:val="00ED467F"/>
    <w:rsid w:val="00ED46CD"/>
    <w:rsid w:val="00ED512E"/>
    <w:rsid w:val="00ED59B9"/>
    <w:rsid w:val="00ED5FEB"/>
    <w:rsid w:val="00ED7330"/>
    <w:rsid w:val="00ED7B69"/>
    <w:rsid w:val="00EE1C29"/>
    <w:rsid w:val="00EE20B6"/>
    <w:rsid w:val="00EE20DB"/>
    <w:rsid w:val="00EE22C7"/>
    <w:rsid w:val="00EE2944"/>
    <w:rsid w:val="00EE2DDB"/>
    <w:rsid w:val="00EE3265"/>
    <w:rsid w:val="00EE5402"/>
    <w:rsid w:val="00EE569A"/>
    <w:rsid w:val="00EE6219"/>
    <w:rsid w:val="00EE6230"/>
    <w:rsid w:val="00EE765E"/>
    <w:rsid w:val="00EF04F9"/>
    <w:rsid w:val="00EF0EB1"/>
    <w:rsid w:val="00EF12A3"/>
    <w:rsid w:val="00EF1A00"/>
    <w:rsid w:val="00EF2245"/>
    <w:rsid w:val="00EF3449"/>
    <w:rsid w:val="00EF34DB"/>
    <w:rsid w:val="00EF3FD7"/>
    <w:rsid w:val="00EF44EE"/>
    <w:rsid w:val="00EF49DD"/>
    <w:rsid w:val="00EF585C"/>
    <w:rsid w:val="00EF607F"/>
    <w:rsid w:val="00EF7852"/>
    <w:rsid w:val="00EF7C16"/>
    <w:rsid w:val="00F006BB"/>
    <w:rsid w:val="00F00800"/>
    <w:rsid w:val="00F00CA3"/>
    <w:rsid w:val="00F01E0A"/>
    <w:rsid w:val="00F01E93"/>
    <w:rsid w:val="00F022E6"/>
    <w:rsid w:val="00F0277A"/>
    <w:rsid w:val="00F058FA"/>
    <w:rsid w:val="00F063D7"/>
    <w:rsid w:val="00F06D2C"/>
    <w:rsid w:val="00F06DDC"/>
    <w:rsid w:val="00F070B2"/>
    <w:rsid w:val="00F07155"/>
    <w:rsid w:val="00F07A5D"/>
    <w:rsid w:val="00F07C94"/>
    <w:rsid w:val="00F07F0C"/>
    <w:rsid w:val="00F109AA"/>
    <w:rsid w:val="00F10C8C"/>
    <w:rsid w:val="00F121AD"/>
    <w:rsid w:val="00F12714"/>
    <w:rsid w:val="00F12ADD"/>
    <w:rsid w:val="00F12DFD"/>
    <w:rsid w:val="00F12E57"/>
    <w:rsid w:val="00F146FF"/>
    <w:rsid w:val="00F14818"/>
    <w:rsid w:val="00F14841"/>
    <w:rsid w:val="00F14C40"/>
    <w:rsid w:val="00F151AD"/>
    <w:rsid w:val="00F15B42"/>
    <w:rsid w:val="00F15CCA"/>
    <w:rsid w:val="00F1638C"/>
    <w:rsid w:val="00F17031"/>
    <w:rsid w:val="00F174AE"/>
    <w:rsid w:val="00F17D41"/>
    <w:rsid w:val="00F20394"/>
    <w:rsid w:val="00F211C3"/>
    <w:rsid w:val="00F22275"/>
    <w:rsid w:val="00F22683"/>
    <w:rsid w:val="00F22E01"/>
    <w:rsid w:val="00F22FDE"/>
    <w:rsid w:val="00F23297"/>
    <w:rsid w:val="00F232D2"/>
    <w:rsid w:val="00F235F1"/>
    <w:rsid w:val="00F237B8"/>
    <w:rsid w:val="00F23B94"/>
    <w:rsid w:val="00F23CEA"/>
    <w:rsid w:val="00F24835"/>
    <w:rsid w:val="00F24F1E"/>
    <w:rsid w:val="00F2501A"/>
    <w:rsid w:val="00F25636"/>
    <w:rsid w:val="00F256D1"/>
    <w:rsid w:val="00F25B5A"/>
    <w:rsid w:val="00F25F82"/>
    <w:rsid w:val="00F26082"/>
    <w:rsid w:val="00F26086"/>
    <w:rsid w:val="00F260C9"/>
    <w:rsid w:val="00F26A33"/>
    <w:rsid w:val="00F26E1F"/>
    <w:rsid w:val="00F27C6F"/>
    <w:rsid w:val="00F30621"/>
    <w:rsid w:val="00F30AD5"/>
    <w:rsid w:val="00F30C3B"/>
    <w:rsid w:val="00F315A0"/>
    <w:rsid w:val="00F31E3B"/>
    <w:rsid w:val="00F33173"/>
    <w:rsid w:val="00F334AB"/>
    <w:rsid w:val="00F33886"/>
    <w:rsid w:val="00F33B1C"/>
    <w:rsid w:val="00F33D04"/>
    <w:rsid w:val="00F33D52"/>
    <w:rsid w:val="00F33E21"/>
    <w:rsid w:val="00F3404B"/>
    <w:rsid w:val="00F344E3"/>
    <w:rsid w:val="00F34805"/>
    <w:rsid w:val="00F3494B"/>
    <w:rsid w:val="00F34EA3"/>
    <w:rsid w:val="00F354D0"/>
    <w:rsid w:val="00F3589A"/>
    <w:rsid w:val="00F35F02"/>
    <w:rsid w:val="00F35F74"/>
    <w:rsid w:val="00F36AAE"/>
    <w:rsid w:val="00F37117"/>
    <w:rsid w:val="00F37B91"/>
    <w:rsid w:val="00F37F82"/>
    <w:rsid w:val="00F4072B"/>
    <w:rsid w:val="00F41BBE"/>
    <w:rsid w:val="00F42315"/>
    <w:rsid w:val="00F423F0"/>
    <w:rsid w:val="00F42BE0"/>
    <w:rsid w:val="00F44E9F"/>
    <w:rsid w:val="00F44EE1"/>
    <w:rsid w:val="00F450A0"/>
    <w:rsid w:val="00F45EF0"/>
    <w:rsid w:val="00F46714"/>
    <w:rsid w:val="00F46E61"/>
    <w:rsid w:val="00F47118"/>
    <w:rsid w:val="00F4797E"/>
    <w:rsid w:val="00F508B6"/>
    <w:rsid w:val="00F516C6"/>
    <w:rsid w:val="00F51DBB"/>
    <w:rsid w:val="00F52176"/>
    <w:rsid w:val="00F521CA"/>
    <w:rsid w:val="00F52601"/>
    <w:rsid w:val="00F53AA2"/>
    <w:rsid w:val="00F54561"/>
    <w:rsid w:val="00F5484C"/>
    <w:rsid w:val="00F5621B"/>
    <w:rsid w:val="00F56503"/>
    <w:rsid w:val="00F571DA"/>
    <w:rsid w:val="00F57943"/>
    <w:rsid w:val="00F601C1"/>
    <w:rsid w:val="00F608AC"/>
    <w:rsid w:val="00F6118C"/>
    <w:rsid w:val="00F61689"/>
    <w:rsid w:val="00F61B9E"/>
    <w:rsid w:val="00F61F51"/>
    <w:rsid w:val="00F62547"/>
    <w:rsid w:val="00F626BF"/>
    <w:rsid w:val="00F62DE3"/>
    <w:rsid w:val="00F62EDE"/>
    <w:rsid w:val="00F63DEE"/>
    <w:rsid w:val="00F64DEA"/>
    <w:rsid w:val="00F64FEF"/>
    <w:rsid w:val="00F65117"/>
    <w:rsid w:val="00F659B1"/>
    <w:rsid w:val="00F65A0D"/>
    <w:rsid w:val="00F6612A"/>
    <w:rsid w:val="00F663A4"/>
    <w:rsid w:val="00F66EF2"/>
    <w:rsid w:val="00F66F28"/>
    <w:rsid w:val="00F674F2"/>
    <w:rsid w:val="00F677D4"/>
    <w:rsid w:val="00F67FBE"/>
    <w:rsid w:val="00F701D1"/>
    <w:rsid w:val="00F70297"/>
    <w:rsid w:val="00F70F5B"/>
    <w:rsid w:val="00F71A22"/>
    <w:rsid w:val="00F71CDF"/>
    <w:rsid w:val="00F71DA6"/>
    <w:rsid w:val="00F7233D"/>
    <w:rsid w:val="00F738E6"/>
    <w:rsid w:val="00F74897"/>
    <w:rsid w:val="00F74D87"/>
    <w:rsid w:val="00F74EB3"/>
    <w:rsid w:val="00F75EDC"/>
    <w:rsid w:val="00F76500"/>
    <w:rsid w:val="00F76B1F"/>
    <w:rsid w:val="00F76B6B"/>
    <w:rsid w:val="00F77161"/>
    <w:rsid w:val="00F77491"/>
    <w:rsid w:val="00F778E4"/>
    <w:rsid w:val="00F80437"/>
    <w:rsid w:val="00F8112C"/>
    <w:rsid w:val="00F82334"/>
    <w:rsid w:val="00F8247E"/>
    <w:rsid w:val="00F824A1"/>
    <w:rsid w:val="00F82C74"/>
    <w:rsid w:val="00F8432A"/>
    <w:rsid w:val="00F84808"/>
    <w:rsid w:val="00F84896"/>
    <w:rsid w:val="00F84CEF"/>
    <w:rsid w:val="00F85E35"/>
    <w:rsid w:val="00F86ADF"/>
    <w:rsid w:val="00F86FA6"/>
    <w:rsid w:val="00F87069"/>
    <w:rsid w:val="00F87797"/>
    <w:rsid w:val="00F878C9"/>
    <w:rsid w:val="00F87CBE"/>
    <w:rsid w:val="00F9126B"/>
    <w:rsid w:val="00F912DB"/>
    <w:rsid w:val="00F914BC"/>
    <w:rsid w:val="00F92519"/>
    <w:rsid w:val="00F92668"/>
    <w:rsid w:val="00F93309"/>
    <w:rsid w:val="00F93734"/>
    <w:rsid w:val="00F93B31"/>
    <w:rsid w:val="00F942B8"/>
    <w:rsid w:val="00F943CD"/>
    <w:rsid w:val="00F952C1"/>
    <w:rsid w:val="00F955CD"/>
    <w:rsid w:val="00F9592F"/>
    <w:rsid w:val="00F969B3"/>
    <w:rsid w:val="00F96F67"/>
    <w:rsid w:val="00F96FC3"/>
    <w:rsid w:val="00FA0098"/>
    <w:rsid w:val="00FA04B1"/>
    <w:rsid w:val="00FA0B5D"/>
    <w:rsid w:val="00FA12FF"/>
    <w:rsid w:val="00FA13B8"/>
    <w:rsid w:val="00FA2669"/>
    <w:rsid w:val="00FA34DF"/>
    <w:rsid w:val="00FA36C0"/>
    <w:rsid w:val="00FA371C"/>
    <w:rsid w:val="00FA46A4"/>
    <w:rsid w:val="00FA4D7B"/>
    <w:rsid w:val="00FA538A"/>
    <w:rsid w:val="00FA55F6"/>
    <w:rsid w:val="00FA5910"/>
    <w:rsid w:val="00FA5ADE"/>
    <w:rsid w:val="00FA5CE9"/>
    <w:rsid w:val="00FA5EB0"/>
    <w:rsid w:val="00FA6014"/>
    <w:rsid w:val="00FA601E"/>
    <w:rsid w:val="00FA647C"/>
    <w:rsid w:val="00FA64CD"/>
    <w:rsid w:val="00FA6F11"/>
    <w:rsid w:val="00FA79B1"/>
    <w:rsid w:val="00FA7A6E"/>
    <w:rsid w:val="00FA7BEC"/>
    <w:rsid w:val="00FA7F34"/>
    <w:rsid w:val="00FB0347"/>
    <w:rsid w:val="00FB08F8"/>
    <w:rsid w:val="00FB1F5F"/>
    <w:rsid w:val="00FB206C"/>
    <w:rsid w:val="00FB3ABD"/>
    <w:rsid w:val="00FB4BD4"/>
    <w:rsid w:val="00FB5696"/>
    <w:rsid w:val="00FB5780"/>
    <w:rsid w:val="00FB6EA7"/>
    <w:rsid w:val="00FB758A"/>
    <w:rsid w:val="00FB75DF"/>
    <w:rsid w:val="00FC017E"/>
    <w:rsid w:val="00FC052F"/>
    <w:rsid w:val="00FC1DCA"/>
    <w:rsid w:val="00FC2C92"/>
    <w:rsid w:val="00FC58FF"/>
    <w:rsid w:val="00FC5BA5"/>
    <w:rsid w:val="00FC6BEA"/>
    <w:rsid w:val="00FC6FFD"/>
    <w:rsid w:val="00FC7B75"/>
    <w:rsid w:val="00FD01BC"/>
    <w:rsid w:val="00FD0B7B"/>
    <w:rsid w:val="00FD14C4"/>
    <w:rsid w:val="00FD18F2"/>
    <w:rsid w:val="00FD194C"/>
    <w:rsid w:val="00FD1AC4"/>
    <w:rsid w:val="00FD2035"/>
    <w:rsid w:val="00FD2F03"/>
    <w:rsid w:val="00FD3076"/>
    <w:rsid w:val="00FD3A6D"/>
    <w:rsid w:val="00FD42C6"/>
    <w:rsid w:val="00FD462D"/>
    <w:rsid w:val="00FD4BFF"/>
    <w:rsid w:val="00FD5F28"/>
    <w:rsid w:val="00FD6638"/>
    <w:rsid w:val="00FD70D5"/>
    <w:rsid w:val="00FD7F39"/>
    <w:rsid w:val="00FE03A0"/>
    <w:rsid w:val="00FE03D6"/>
    <w:rsid w:val="00FE0A7D"/>
    <w:rsid w:val="00FE1EB0"/>
    <w:rsid w:val="00FE20C9"/>
    <w:rsid w:val="00FE27EC"/>
    <w:rsid w:val="00FE2A20"/>
    <w:rsid w:val="00FE2E7B"/>
    <w:rsid w:val="00FE36C6"/>
    <w:rsid w:val="00FE37A8"/>
    <w:rsid w:val="00FE3CDF"/>
    <w:rsid w:val="00FE453B"/>
    <w:rsid w:val="00FE4865"/>
    <w:rsid w:val="00FE58C1"/>
    <w:rsid w:val="00FE67CB"/>
    <w:rsid w:val="00FE67D6"/>
    <w:rsid w:val="00FE7883"/>
    <w:rsid w:val="00FE7A80"/>
    <w:rsid w:val="00FF01CF"/>
    <w:rsid w:val="00FF0D99"/>
    <w:rsid w:val="00FF18E0"/>
    <w:rsid w:val="00FF29FC"/>
    <w:rsid w:val="00FF2FC0"/>
    <w:rsid w:val="00FF4227"/>
    <w:rsid w:val="00FF4F06"/>
    <w:rsid w:val="00FF5004"/>
    <w:rsid w:val="00FF5DD3"/>
    <w:rsid w:val="00FF6269"/>
    <w:rsid w:val="00FF64FD"/>
    <w:rsid w:val="00FF6999"/>
    <w:rsid w:val="00FF6CFF"/>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8" w:qFormat="1"/>
    <w:lsdException w:name="List Bullet" w:uiPriority="0" w:qFormat="1"/>
    <w:lsdException w:name="List Number" w:uiPriority="1" w:qFormat="1"/>
    <w:lsdException w:name="List Bullet 2" w:uiPriority="1" w:qFormat="1"/>
    <w:lsdException w:name="Title" w:semiHidden="0" w:uiPriority="2" w:unhideWhenUsed="0" w:qFormat="1"/>
    <w:lsdException w:name="Default Paragraph Font" w:uiPriority="1"/>
    <w:lsdException w:name="Body Text" w:uiPriority="0" w:qFormat="1"/>
    <w:lsdException w:name="Subtitle" w:semiHidden="0" w:uiPriority="2" w:unhideWhenUsed="0" w:qFormat="1"/>
    <w:lsdException w:name="Hyperlink" w:qFormat="1"/>
    <w:lsdException w:name="Strong" w:semiHidden="0" w:uiPriority="3"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qFormat/>
    <w:rsid w:val="00763CC5"/>
    <w:pPr>
      <w:spacing w:before="120" w:after="120" w:line="280" w:lineRule="atLeast"/>
      <w:jc w:val="both"/>
    </w:pPr>
    <w:rPr>
      <w:rFonts w:ascii="Calibri" w:eastAsiaTheme="minorEastAsia" w:hAnsi="Calibri" w:cstheme="minorBidi"/>
      <w:lang w:eastAsia="en-NZ"/>
    </w:rPr>
  </w:style>
  <w:style w:type="paragraph" w:styleId="Heading1">
    <w:name w:val="heading 1"/>
    <w:aliases w:val="Heading 1 Blue"/>
    <w:next w:val="BodyText"/>
    <w:link w:val="Heading1Char"/>
    <w:qFormat/>
    <w:rsid w:val="00262001"/>
    <w:pPr>
      <w:keepNext/>
      <w:tabs>
        <w:tab w:val="left" w:pos="851"/>
      </w:tabs>
      <w:spacing w:after="360"/>
      <w:outlineLvl w:val="0"/>
    </w:pPr>
    <w:rPr>
      <w:rFonts w:eastAsiaTheme="majorEastAsia" w:cstheme="majorBidi"/>
      <w:b/>
      <w:bCs/>
      <w:color w:val="1C556C"/>
      <w:sz w:val="56"/>
      <w:szCs w:val="56"/>
      <w:lang w:eastAsia="en-NZ"/>
    </w:rPr>
  </w:style>
  <w:style w:type="paragraph" w:styleId="Heading2">
    <w:name w:val="heading 2"/>
    <w:next w:val="BodyText"/>
    <w:link w:val="Heading2Char"/>
    <w:qFormat/>
    <w:rsid w:val="00262001"/>
    <w:pPr>
      <w:keepNext/>
      <w:tabs>
        <w:tab w:val="left" w:pos="851"/>
      </w:tabs>
      <w:spacing w:before="360"/>
      <w:outlineLvl w:val="1"/>
    </w:pPr>
    <w:rPr>
      <w:rFonts w:ascii="Calibri" w:eastAsiaTheme="majorEastAsia" w:hAnsi="Calibri" w:cstheme="majorBidi"/>
      <w:b/>
      <w:bCs/>
      <w:color w:val="0F7B7D"/>
      <w:sz w:val="40"/>
      <w:szCs w:val="40"/>
      <w:lang w:eastAsia="en-NZ"/>
    </w:rPr>
  </w:style>
  <w:style w:type="paragraph" w:styleId="Heading3">
    <w:name w:val="heading 3"/>
    <w:basedOn w:val="Heading2"/>
    <w:next w:val="BodyText"/>
    <w:link w:val="Heading3Char"/>
    <w:qFormat/>
    <w:rsid w:val="008C66D7"/>
    <w:pPr>
      <w:outlineLvl w:val="2"/>
    </w:pPr>
    <w:rPr>
      <w:color w:val="auto"/>
      <w:sz w:val="28"/>
      <w:szCs w:val="28"/>
    </w:rPr>
  </w:style>
  <w:style w:type="paragraph" w:styleId="Heading4">
    <w:name w:val="heading 4"/>
    <w:next w:val="BodyText"/>
    <w:link w:val="Heading4Char"/>
    <w:qFormat/>
    <w:rsid w:val="0047070D"/>
    <w:pPr>
      <w:keepNext/>
      <w:keepLines/>
      <w:spacing w:before="360"/>
      <w:outlineLvl w:val="3"/>
    </w:pPr>
    <w:rPr>
      <w:rFonts w:ascii="Calibri" w:eastAsiaTheme="majorEastAsia" w:hAnsi="Calibri" w:cstheme="majorBidi"/>
      <w:b/>
      <w:bCs/>
      <w:sz w:val="30"/>
      <w:szCs w:val="24"/>
    </w:rPr>
  </w:style>
  <w:style w:type="paragraph" w:styleId="Heading5">
    <w:name w:val="heading 5"/>
    <w:next w:val="BodyText"/>
    <w:link w:val="Heading5Char"/>
    <w:qFormat/>
    <w:rsid w:val="0047070D"/>
    <w:pPr>
      <w:keepNext/>
      <w:keepLines/>
      <w:spacing w:before="240"/>
      <w:outlineLvl w:val="4"/>
    </w:pPr>
    <w:rPr>
      <w:rFonts w:asciiTheme="majorHAnsi" w:eastAsiaTheme="majorEastAsia" w:hAnsiTheme="majorHAnsi" w:cs="Arial"/>
      <w:b/>
      <w:bCs/>
      <w:i/>
      <w:iCs/>
      <w:color w:val="00242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lue Char"/>
    <w:link w:val="Heading1"/>
    <w:rsid w:val="00262001"/>
    <w:rPr>
      <w:rFonts w:eastAsiaTheme="majorEastAsia" w:cstheme="majorBidi"/>
      <w:b/>
      <w:bCs/>
      <w:color w:val="1C556C"/>
      <w:sz w:val="56"/>
      <w:szCs w:val="56"/>
      <w:lang w:eastAsia="en-NZ"/>
    </w:rPr>
  </w:style>
  <w:style w:type="paragraph" w:customStyle="1" w:styleId="Heading1Green">
    <w:name w:val="Heading 1 Green"/>
    <w:basedOn w:val="Heading1"/>
    <w:next w:val="BodyText"/>
    <w:rsid w:val="00717A53"/>
    <w:rPr>
      <w:color w:val="23BCB9"/>
    </w:rPr>
  </w:style>
  <w:style w:type="paragraph" w:styleId="BodyText">
    <w:name w:val="Body Text"/>
    <w:basedOn w:val="Normal"/>
    <w:link w:val="BodyTextChar"/>
    <w:qFormat/>
    <w:rsid w:val="000661E2"/>
    <w:pPr>
      <w:jc w:val="left"/>
    </w:pPr>
    <w:rPr>
      <w:rFonts w:asciiTheme="minorHAnsi" w:hAnsiTheme="minorHAnsi"/>
    </w:rPr>
  </w:style>
  <w:style w:type="character" w:customStyle="1" w:styleId="BodyTextChar">
    <w:name w:val="Body Text Char"/>
    <w:link w:val="BodyText"/>
    <w:rsid w:val="000661E2"/>
    <w:rPr>
      <w:rFonts w:eastAsiaTheme="minorEastAsia" w:cstheme="minorBidi"/>
      <w:lang w:eastAsia="en-NZ"/>
    </w:rPr>
  </w:style>
  <w:style w:type="paragraph" w:customStyle="1" w:styleId="WDHeading1Blue">
    <w:name w:val="WD Heading 1 Blue"/>
    <w:basedOn w:val="Heading1"/>
    <w:link w:val="WDHeading1BlueChar"/>
    <w:rsid w:val="007C2F09"/>
  </w:style>
  <w:style w:type="character" w:customStyle="1" w:styleId="WDHeading1BlueChar">
    <w:name w:val="WD Heading 1 Blue Char"/>
    <w:basedOn w:val="DefaultParagraphFont"/>
    <w:link w:val="WDHeading1Blue"/>
    <w:rsid w:val="007C2F09"/>
    <w:rPr>
      <w:rFonts w:ascii="Calibri" w:eastAsiaTheme="majorEastAsia" w:hAnsi="Calibri" w:cstheme="majorBidi"/>
      <w:b/>
      <w:bCs/>
      <w:color w:val="0092CF"/>
      <w:sz w:val="60"/>
      <w:szCs w:val="28"/>
      <w:lang w:eastAsia="en-NZ"/>
    </w:rPr>
  </w:style>
  <w:style w:type="paragraph" w:customStyle="1" w:styleId="WDHeading1Green">
    <w:name w:val="WD Heading 1 Green"/>
    <w:basedOn w:val="Normal"/>
    <w:link w:val="WDHeading1GreenChar"/>
    <w:rsid w:val="007C2F09"/>
    <w:pPr>
      <w:keepNext/>
      <w:keepLines/>
      <w:tabs>
        <w:tab w:val="left" w:pos="851"/>
      </w:tabs>
      <w:spacing w:after="360"/>
      <w:outlineLvl w:val="0"/>
    </w:pPr>
    <w:rPr>
      <w:rFonts w:eastAsiaTheme="majorEastAsia" w:cstheme="majorBidi"/>
      <w:b/>
      <w:bCs/>
      <w:color w:val="23BCB9"/>
      <w:sz w:val="60"/>
      <w:szCs w:val="28"/>
    </w:rPr>
  </w:style>
  <w:style w:type="character" w:customStyle="1" w:styleId="WDHeading1GreenChar">
    <w:name w:val="WD Heading 1 Green Char"/>
    <w:basedOn w:val="DefaultParagraphFont"/>
    <w:link w:val="WDHeading1Green"/>
    <w:rsid w:val="007C2F09"/>
    <w:rPr>
      <w:rFonts w:ascii="Calibri" w:eastAsiaTheme="majorEastAsia" w:hAnsi="Calibri" w:cstheme="majorBidi"/>
      <w:b/>
      <w:bCs/>
      <w:color w:val="23BCB9"/>
      <w:sz w:val="60"/>
      <w:szCs w:val="28"/>
      <w:lang w:eastAsia="en-NZ"/>
    </w:rPr>
  </w:style>
  <w:style w:type="paragraph" w:customStyle="1" w:styleId="WDHeading2">
    <w:name w:val="WD Heading 2"/>
    <w:basedOn w:val="Heading2"/>
    <w:link w:val="WDHeading2Char"/>
    <w:rsid w:val="007C2F09"/>
    <w:pPr>
      <w:tabs>
        <w:tab w:val="left" w:pos="737"/>
      </w:tabs>
      <w:spacing w:before="280"/>
    </w:pPr>
    <w:rPr>
      <w:color w:val="23BCB9"/>
      <w:sz w:val="32"/>
    </w:rPr>
  </w:style>
  <w:style w:type="character" w:customStyle="1" w:styleId="WDHeading2Char">
    <w:name w:val="WD Heading 2 Char"/>
    <w:basedOn w:val="Heading2Char"/>
    <w:link w:val="WDHeading2"/>
    <w:rsid w:val="007C2F09"/>
    <w:rPr>
      <w:rFonts w:ascii="Calibri" w:eastAsiaTheme="majorEastAsia" w:hAnsi="Calibri" w:cstheme="majorBidi"/>
      <w:b/>
      <w:bCs/>
      <w:color w:val="23BCB9"/>
      <w:sz w:val="32"/>
      <w:szCs w:val="26"/>
      <w:lang w:eastAsia="en-NZ"/>
    </w:rPr>
  </w:style>
  <w:style w:type="character" w:customStyle="1" w:styleId="Heading2Char">
    <w:name w:val="Heading 2 Char"/>
    <w:link w:val="Heading2"/>
    <w:rsid w:val="00262001"/>
    <w:rPr>
      <w:rFonts w:ascii="Calibri" w:eastAsiaTheme="majorEastAsia" w:hAnsi="Calibri" w:cstheme="majorBidi"/>
      <w:b/>
      <w:bCs/>
      <w:color w:val="0F7B7D"/>
      <w:sz w:val="40"/>
      <w:szCs w:val="40"/>
      <w:lang w:eastAsia="en-NZ"/>
    </w:rPr>
  </w:style>
  <w:style w:type="paragraph" w:customStyle="1" w:styleId="WDHeading3">
    <w:name w:val="WD Heading 3"/>
    <w:basedOn w:val="Normal"/>
    <w:link w:val="WDHeading3Char"/>
    <w:rsid w:val="007C2F09"/>
    <w:pPr>
      <w:keepNext/>
      <w:keepLines/>
      <w:tabs>
        <w:tab w:val="left" w:pos="851"/>
      </w:tabs>
      <w:spacing w:before="360"/>
      <w:outlineLvl w:val="2"/>
    </w:pPr>
    <w:rPr>
      <w:rFonts w:eastAsiaTheme="majorEastAsia" w:cstheme="majorBidi"/>
      <w:b/>
      <w:bCs/>
      <w:color w:val="0092CF"/>
      <w:sz w:val="28"/>
    </w:rPr>
  </w:style>
  <w:style w:type="character" w:customStyle="1" w:styleId="WDHeading3Char">
    <w:name w:val="WD Heading 3 Char"/>
    <w:basedOn w:val="DefaultParagraphFont"/>
    <w:link w:val="WDHeading3"/>
    <w:rsid w:val="007C2F09"/>
    <w:rPr>
      <w:rFonts w:ascii="Calibri" w:eastAsiaTheme="majorEastAsia" w:hAnsi="Calibri" w:cstheme="majorBidi"/>
      <w:b/>
      <w:bCs/>
      <w:color w:val="0092CF"/>
      <w:sz w:val="28"/>
      <w:lang w:eastAsia="en-NZ"/>
    </w:rPr>
  </w:style>
  <w:style w:type="paragraph" w:customStyle="1" w:styleId="WDHeading4">
    <w:name w:val="WD Heading 4"/>
    <w:basedOn w:val="Heading4"/>
    <w:link w:val="WDHeading4Char"/>
    <w:rsid w:val="007C2F09"/>
    <w:pPr>
      <w:tabs>
        <w:tab w:val="left" w:pos="851"/>
      </w:tabs>
      <w:spacing w:before="240"/>
    </w:pPr>
    <w:rPr>
      <w:i/>
      <w:iCs/>
      <w:color w:val="00264C"/>
      <w:sz w:val="24"/>
      <w:lang w:eastAsia="en-NZ"/>
    </w:rPr>
  </w:style>
  <w:style w:type="character" w:customStyle="1" w:styleId="WDHeading4Char">
    <w:name w:val="WD Heading 4 Char"/>
    <w:basedOn w:val="Heading4Char"/>
    <w:link w:val="WDHeading4"/>
    <w:rsid w:val="007C2F09"/>
    <w:rPr>
      <w:rFonts w:ascii="Calibri" w:eastAsiaTheme="majorEastAsia" w:hAnsi="Calibri" w:cstheme="majorBidi"/>
      <w:b/>
      <w:bCs/>
      <w:i/>
      <w:iCs/>
      <w:color w:val="00264C"/>
      <w:sz w:val="24"/>
      <w:szCs w:val="24"/>
      <w:lang w:eastAsia="en-NZ"/>
    </w:rPr>
  </w:style>
  <w:style w:type="character" w:customStyle="1" w:styleId="Heading4Char">
    <w:name w:val="Heading 4 Char"/>
    <w:link w:val="Heading4"/>
    <w:rsid w:val="0047070D"/>
    <w:rPr>
      <w:rFonts w:ascii="Calibri" w:eastAsiaTheme="majorEastAsia" w:hAnsi="Calibri" w:cstheme="majorBidi"/>
      <w:b/>
      <w:bCs/>
      <w:sz w:val="30"/>
      <w:szCs w:val="24"/>
    </w:rPr>
  </w:style>
  <w:style w:type="paragraph" w:customStyle="1" w:styleId="WDHeading5">
    <w:name w:val="WD Heading 5"/>
    <w:basedOn w:val="Heading5"/>
    <w:link w:val="WDHeading5Char"/>
    <w:rsid w:val="007C2F09"/>
    <w:pPr>
      <w:spacing w:before="480"/>
      <w:jc w:val="both"/>
    </w:pPr>
    <w:rPr>
      <w:rFonts w:ascii="Calibri" w:hAnsi="Calibri"/>
      <w:i w:val="0"/>
      <w:sz w:val="24"/>
      <w:lang w:eastAsia="en-NZ"/>
    </w:rPr>
  </w:style>
  <w:style w:type="character" w:customStyle="1" w:styleId="WDHeading5Char">
    <w:name w:val="WD Heading 5 Char"/>
    <w:basedOn w:val="Heading5Char"/>
    <w:link w:val="WDHeading5"/>
    <w:rsid w:val="007C2F09"/>
    <w:rPr>
      <w:rFonts w:ascii="Calibri" w:eastAsiaTheme="majorEastAsia" w:hAnsi="Calibri" w:cstheme="majorBidi"/>
      <w:b/>
      <w:bCs/>
      <w:i w:val="0"/>
      <w:iCs/>
      <w:color w:val="004D1E" w:themeColor="accent1" w:themeShade="7F"/>
      <w:sz w:val="24"/>
      <w:szCs w:val="24"/>
      <w:lang w:eastAsia="en-NZ"/>
    </w:rPr>
  </w:style>
  <w:style w:type="character" w:customStyle="1" w:styleId="Heading5Char">
    <w:name w:val="Heading 5 Char"/>
    <w:link w:val="Heading5"/>
    <w:rsid w:val="0047070D"/>
    <w:rPr>
      <w:rFonts w:asciiTheme="majorHAnsi" w:eastAsiaTheme="majorEastAsia" w:hAnsiTheme="majorHAnsi" w:cs="Arial"/>
      <w:b/>
      <w:bCs/>
      <w:i/>
      <w:iCs/>
      <w:color w:val="00242F"/>
      <w:szCs w:val="24"/>
    </w:rPr>
  </w:style>
  <w:style w:type="paragraph" w:customStyle="1" w:styleId="Normaltext">
    <w:name w:val="Normal text"/>
    <w:basedOn w:val="BodyText"/>
    <w:link w:val="NormaltextChar"/>
    <w:rsid w:val="00A04E7E"/>
    <w:rPr>
      <w:rFonts w:ascii="Calibri" w:hAnsi="Calibri"/>
      <w:color w:val="00264C"/>
    </w:rPr>
  </w:style>
  <w:style w:type="character" w:customStyle="1" w:styleId="NormaltextChar">
    <w:name w:val="Normal text Char"/>
    <w:basedOn w:val="DefaultParagraphFont"/>
    <w:link w:val="Normaltext"/>
    <w:rsid w:val="00A04E7E"/>
    <w:rPr>
      <w:rFonts w:ascii="Calibri" w:eastAsia="Times New Roman" w:hAnsi="Calibri"/>
      <w:color w:val="00264C"/>
      <w:lang w:eastAsia="en-NZ"/>
    </w:rPr>
  </w:style>
  <w:style w:type="paragraph" w:customStyle="1" w:styleId="Bullets">
    <w:name w:val="Bullets"/>
    <w:basedOn w:val="ListParagraph"/>
    <w:link w:val="BulletsChar"/>
    <w:rsid w:val="007C2F09"/>
    <w:pPr>
      <w:numPr>
        <w:numId w:val="1"/>
      </w:numPr>
      <w:ind w:left="714" w:hanging="357"/>
      <w:contextualSpacing w:val="0"/>
    </w:pPr>
  </w:style>
  <w:style w:type="character" w:customStyle="1" w:styleId="BulletsChar">
    <w:name w:val="Bullets Char"/>
    <w:basedOn w:val="DefaultParagraphFont"/>
    <w:link w:val="Bullets"/>
    <w:rsid w:val="007C2F09"/>
    <w:rPr>
      <w:rFonts w:ascii="Calibri" w:eastAsiaTheme="minorEastAsia" w:hAnsi="Calibri" w:cstheme="minorBidi"/>
      <w:lang w:eastAsia="en-NZ"/>
    </w:rPr>
  </w:style>
  <w:style w:type="paragraph" w:styleId="ListParagraph">
    <w:name w:val="List Paragraph"/>
    <w:basedOn w:val="Normal"/>
    <w:uiPriority w:val="34"/>
    <w:semiHidden/>
    <w:qFormat/>
    <w:rsid w:val="007C2F09"/>
    <w:pPr>
      <w:ind w:left="720"/>
      <w:contextualSpacing/>
    </w:pPr>
  </w:style>
  <w:style w:type="paragraph" w:styleId="Title">
    <w:name w:val="Title"/>
    <w:aliases w:val="WD Title"/>
    <w:basedOn w:val="Normal"/>
    <w:next w:val="Subtitle"/>
    <w:link w:val="TitleChar"/>
    <w:uiPriority w:val="2"/>
    <w:qFormat/>
    <w:rsid w:val="0047070D"/>
    <w:pPr>
      <w:spacing w:line="216" w:lineRule="auto"/>
      <w:ind w:right="2835"/>
      <w:outlineLvl w:val="0"/>
    </w:pPr>
    <w:rPr>
      <w:rFonts w:eastAsiaTheme="majorEastAsia" w:cstheme="majorBidi"/>
      <w:b/>
      <w:bCs/>
      <w:spacing w:val="10"/>
      <w:sz w:val="76"/>
      <w:szCs w:val="56"/>
    </w:rPr>
  </w:style>
  <w:style w:type="character" w:customStyle="1" w:styleId="TitleChar">
    <w:name w:val="Title Char"/>
    <w:aliases w:val="WD Title Char"/>
    <w:link w:val="Title"/>
    <w:uiPriority w:val="2"/>
    <w:rsid w:val="0047070D"/>
    <w:rPr>
      <w:rFonts w:ascii="Calibri" w:eastAsiaTheme="majorEastAsia" w:hAnsi="Calibri" w:cstheme="majorBidi"/>
      <w:b/>
      <w:bCs/>
      <w:spacing w:val="10"/>
      <w:sz w:val="76"/>
      <w:szCs w:val="56"/>
    </w:rPr>
  </w:style>
  <w:style w:type="paragraph" w:customStyle="1" w:styleId="BoxText">
    <w:name w:val="Box Text"/>
    <w:qFormat/>
    <w:rsid w:val="0047070D"/>
    <w:pPr>
      <w:spacing w:before="120" w:after="120"/>
      <w:ind w:right="397"/>
    </w:pPr>
    <w:rPr>
      <w:rFonts w:ascii="Calibri" w:hAnsi="Calibri"/>
      <w:szCs w:val="20"/>
    </w:rPr>
  </w:style>
  <w:style w:type="paragraph" w:customStyle="1" w:styleId="BoxHeading">
    <w:name w:val="Box Heading"/>
    <w:basedOn w:val="BoxText"/>
    <w:next w:val="BoxText"/>
    <w:qFormat/>
    <w:rsid w:val="0047070D"/>
    <w:pPr>
      <w:keepNext/>
      <w:spacing w:before="200" w:after="200"/>
      <w:contextualSpacing/>
    </w:pPr>
    <w:rPr>
      <w:rFonts w:asciiTheme="majorHAnsi" w:hAnsiTheme="majorHAnsi"/>
      <w:b/>
      <w:bCs/>
      <w:color w:val="00242F" w:themeColor="text2"/>
      <w:szCs w:val="22"/>
    </w:rPr>
  </w:style>
  <w:style w:type="paragraph" w:customStyle="1" w:styleId="BoxAlphaList">
    <w:name w:val="Box Alpha List"/>
    <w:basedOn w:val="BoxText"/>
    <w:uiPriority w:val="3"/>
    <w:qFormat/>
    <w:rsid w:val="0047070D"/>
    <w:pPr>
      <w:numPr>
        <w:numId w:val="3"/>
      </w:numPr>
    </w:pPr>
  </w:style>
  <w:style w:type="paragraph" w:customStyle="1" w:styleId="Note2">
    <w:name w:val="Note2"/>
    <w:uiPriority w:val="6"/>
    <w:semiHidden/>
    <w:qFormat/>
    <w:rsid w:val="0047070D"/>
    <w:pPr>
      <w:numPr>
        <w:numId w:val="4"/>
      </w:numPr>
      <w:spacing w:before="120"/>
    </w:pPr>
    <w:rPr>
      <w:sz w:val="18"/>
      <w:szCs w:val="18"/>
    </w:rPr>
  </w:style>
  <w:style w:type="paragraph" w:customStyle="1" w:styleId="References">
    <w:name w:val="References"/>
    <w:uiPriority w:val="17"/>
    <w:qFormat/>
    <w:rsid w:val="0047070D"/>
    <w:pPr>
      <w:spacing w:after="120"/>
    </w:pPr>
    <w:rPr>
      <w:rFonts w:ascii="Calibri" w:hAnsi="Calibri"/>
      <w:szCs w:val="21"/>
    </w:rPr>
  </w:style>
  <w:style w:type="paragraph" w:customStyle="1" w:styleId="Source">
    <w:name w:val="Source"/>
    <w:next w:val="BodyText"/>
    <w:qFormat/>
    <w:rsid w:val="0047070D"/>
    <w:pPr>
      <w:spacing w:before="120"/>
    </w:pPr>
    <w:rPr>
      <w:sz w:val="18"/>
      <w:szCs w:val="18"/>
    </w:rPr>
  </w:style>
  <w:style w:type="paragraph" w:customStyle="1" w:styleId="BoxBullet">
    <w:name w:val="Box Bullet"/>
    <w:basedOn w:val="BoxText"/>
    <w:qFormat/>
    <w:rsid w:val="0047070D"/>
    <w:pPr>
      <w:numPr>
        <w:numId w:val="5"/>
      </w:numPr>
    </w:pPr>
  </w:style>
  <w:style w:type="paragraph" w:customStyle="1" w:styleId="TOCSubheading">
    <w:name w:val="TOC Subheading"/>
    <w:next w:val="Normal"/>
    <w:uiPriority w:val="11"/>
    <w:semiHidden/>
    <w:unhideWhenUsed/>
    <w:qFormat/>
    <w:rsid w:val="0047070D"/>
    <w:pPr>
      <w:keepNext/>
      <w:spacing w:before="600"/>
    </w:pPr>
    <w:rPr>
      <w:b/>
      <w:sz w:val="32"/>
    </w:rPr>
  </w:style>
  <w:style w:type="paragraph" w:customStyle="1" w:styleId="Glossary">
    <w:name w:val="Glossary"/>
    <w:link w:val="GlossaryChar"/>
    <w:uiPriority w:val="1"/>
    <w:qFormat/>
    <w:rsid w:val="0047070D"/>
    <w:pPr>
      <w:tabs>
        <w:tab w:val="left" w:pos="2835"/>
      </w:tabs>
      <w:spacing w:after="120"/>
      <w:ind w:left="2835" w:hanging="2835"/>
    </w:pPr>
  </w:style>
  <w:style w:type="character" w:customStyle="1" w:styleId="GlossaryChar">
    <w:name w:val="Glossary Char"/>
    <w:basedOn w:val="DefaultParagraphFont"/>
    <w:link w:val="Glossary"/>
    <w:uiPriority w:val="18"/>
    <w:rsid w:val="0047070D"/>
  </w:style>
  <w:style w:type="paragraph" w:customStyle="1" w:styleId="TableBullet">
    <w:name w:val="TableBullet"/>
    <w:basedOn w:val="Normal"/>
    <w:qFormat/>
    <w:rsid w:val="0047070D"/>
    <w:pPr>
      <w:numPr>
        <w:numId w:val="6"/>
      </w:numPr>
      <w:spacing w:before="40" w:after="40"/>
    </w:pPr>
    <w:rPr>
      <w:sz w:val="20"/>
      <w:szCs w:val="18"/>
    </w:rPr>
  </w:style>
  <w:style w:type="paragraph" w:customStyle="1" w:styleId="TableDash">
    <w:name w:val="TableDash"/>
    <w:basedOn w:val="TableBullet"/>
    <w:qFormat/>
    <w:rsid w:val="0047070D"/>
    <w:pPr>
      <w:numPr>
        <w:ilvl w:val="1"/>
      </w:numPr>
    </w:pPr>
  </w:style>
  <w:style w:type="paragraph" w:customStyle="1" w:styleId="Note1">
    <w:name w:val="Note1"/>
    <w:uiPriority w:val="6"/>
    <w:semiHidden/>
    <w:qFormat/>
    <w:rsid w:val="0047070D"/>
    <w:pPr>
      <w:numPr>
        <w:numId w:val="7"/>
      </w:numPr>
      <w:spacing w:before="120"/>
    </w:pPr>
    <w:rPr>
      <w:sz w:val="18"/>
      <w:szCs w:val="18"/>
    </w:rPr>
  </w:style>
  <w:style w:type="paragraph" w:customStyle="1" w:styleId="TextBoxHeading">
    <w:name w:val="Text Box Heading"/>
    <w:basedOn w:val="TextBoxNormal"/>
    <w:uiPriority w:val="14"/>
    <w:semiHidden/>
    <w:qFormat/>
    <w:rsid w:val="0047070D"/>
    <w:rPr>
      <w:b/>
    </w:rPr>
  </w:style>
  <w:style w:type="paragraph" w:customStyle="1" w:styleId="TextBoxNormal">
    <w:name w:val="Text Box Normal"/>
    <w:basedOn w:val="Normal"/>
    <w:uiPriority w:val="14"/>
    <w:semiHidden/>
    <w:qFormat/>
    <w:rsid w:val="0047070D"/>
    <w:rPr>
      <w:color w:val="FFFFFF"/>
    </w:rPr>
  </w:style>
  <w:style w:type="paragraph" w:customStyle="1" w:styleId="QuoteBoxText">
    <w:name w:val="Quote Box Text"/>
    <w:uiPriority w:val="15"/>
    <w:qFormat/>
    <w:rsid w:val="0047070D"/>
    <w:pPr>
      <w:spacing w:before="120"/>
      <w:ind w:left="397" w:right="397"/>
    </w:pPr>
    <w:rPr>
      <w:color w:val="FFFFFF"/>
    </w:rPr>
  </w:style>
  <w:style w:type="paragraph" w:customStyle="1" w:styleId="QuoteBoxHeading">
    <w:name w:val="Quote Box Heading"/>
    <w:basedOn w:val="QuoteBoxText"/>
    <w:uiPriority w:val="15"/>
    <w:qFormat/>
    <w:rsid w:val="0047070D"/>
    <w:pPr>
      <w:spacing w:before="280" w:after="120"/>
    </w:pPr>
    <w:rPr>
      <w:b/>
    </w:rPr>
  </w:style>
  <w:style w:type="paragraph" w:customStyle="1" w:styleId="SectionTitle">
    <w:name w:val="Section Title"/>
    <w:uiPriority w:val="22"/>
    <w:semiHidden/>
    <w:qFormat/>
    <w:rsid w:val="0047070D"/>
    <w:rPr>
      <w:b/>
      <w:color w:val="00242F" w:themeColor="text2"/>
      <w:sz w:val="60"/>
    </w:rPr>
  </w:style>
  <w:style w:type="paragraph" w:customStyle="1" w:styleId="Figureheading">
    <w:name w:val="Figure heading"/>
    <w:basedOn w:val="Normal"/>
    <w:qFormat/>
    <w:rsid w:val="002D7317"/>
    <w:pPr>
      <w:spacing w:before="240"/>
    </w:pPr>
    <w:rPr>
      <w:b/>
      <w:color w:val="267998"/>
    </w:rPr>
  </w:style>
  <w:style w:type="paragraph" w:customStyle="1" w:styleId="TableHeading">
    <w:name w:val="Table Heading"/>
    <w:basedOn w:val="Figureheading"/>
    <w:qFormat/>
    <w:rsid w:val="0047070D"/>
  </w:style>
  <w:style w:type="paragraph" w:customStyle="1" w:styleId="TableBold">
    <w:name w:val="Table Bold"/>
    <w:basedOn w:val="Normal"/>
    <w:qFormat/>
    <w:rsid w:val="0047070D"/>
    <w:pPr>
      <w:spacing w:before="60" w:after="60"/>
    </w:pPr>
    <w:rPr>
      <w:b/>
      <w:sz w:val="20"/>
    </w:rPr>
  </w:style>
  <w:style w:type="paragraph" w:customStyle="1" w:styleId="TableText">
    <w:name w:val="TableText"/>
    <w:basedOn w:val="Normal"/>
    <w:qFormat/>
    <w:rsid w:val="0047070D"/>
    <w:pPr>
      <w:spacing w:before="60" w:after="60"/>
    </w:pPr>
    <w:rPr>
      <w:sz w:val="20"/>
    </w:rPr>
  </w:style>
  <w:style w:type="paragraph" w:customStyle="1" w:styleId="BulletsNPS">
    <w:name w:val="Bullets NPS"/>
    <w:basedOn w:val="ListBullet"/>
    <w:qFormat/>
    <w:rsid w:val="0047070D"/>
    <w:pPr>
      <w:numPr>
        <w:numId w:val="0"/>
      </w:numPr>
    </w:pPr>
  </w:style>
  <w:style w:type="paragraph" w:styleId="ListBullet">
    <w:name w:val="List Bullet"/>
    <w:basedOn w:val="BodyText"/>
    <w:qFormat/>
    <w:rsid w:val="0047070D"/>
    <w:pPr>
      <w:numPr>
        <w:numId w:val="8"/>
      </w:numPr>
    </w:pPr>
    <w:rPr>
      <w:rFonts w:ascii="Calibri" w:hAnsi="Calibri"/>
    </w:rPr>
  </w:style>
  <w:style w:type="paragraph" w:customStyle="1" w:styleId="Bullet">
    <w:name w:val="Bullet"/>
    <w:basedOn w:val="Normal"/>
    <w:link w:val="BulletChar"/>
    <w:qFormat/>
    <w:rsid w:val="0047070D"/>
    <w:pPr>
      <w:keepLines/>
    </w:pPr>
  </w:style>
  <w:style w:type="paragraph" w:customStyle="1" w:styleId="BulletsubNPS">
    <w:name w:val="Bullet sub NPS"/>
    <w:basedOn w:val="ListBullet2"/>
    <w:qFormat/>
    <w:rsid w:val="0047070D"/>
    <w:pPr>
      <w:numPr>
        <w:ilvl w:val="0"/>
        <w:numId w:val="0"/>
      </w:numPr>
    </w:pPr>
  </w:style>
  <w:style w:type="paragraph" w:styleId="ListBullet2">
    <w:name w:val="List Bullet 2"/>
    <w:basedOn w:val="ListBullet"/>
    <w:uiPriority w:val="1"/>
    <w:qFormat/>
    <w:rsid w:val="0047070D"/>
    <w:pPr>
      <w:numPr>
        <w:ilvl w:val="1"/>
      </w:numPr>
    </w:pPr>
  </w:style>
  <w:style w:type="paragraph" w:customStyle="1" w:styleId="Quotebullet">
    <w:name w:val="Quote bullet"/>
    <w:basedOn w:val="ListBullet"/>
    <w:qFormat/>
    <w:rsid w:val="0047070D"/>
    <w:pPr>
      <w:numPr>
        <w:numId w:val="0"/>
      </w:numPr>
      <w:ind w:right="397"/>
    </w:pPr>
  </w:style>
  <w:style w:type="paragraph" w:customStyle="1" w:styleId="Hyperlink1">
    <w:name w:val="Hyperlink1"/>
    <w:basedOn w:val="BodyText"/>
    <w:link w:val="hyperlinkChar"/>
    <w:qFormat/>
    <w:rsid w:val="003625A5"/>
    <w:rPr>
      <w:b/>
    </w:rPr>
  </w:style>
  <w:style w:type="character" w:customStyle="1" w:styleId="hyperlinkChar">
    <w:name w:val="hyperlink Char"/>
    <w:basedOn w:val="BodyTextChar"/>
    <w:link w:val="Hyperlink1"/>
    <w:rsid w:val="003625A5"/>
    <w:rPr>
      <w:rFonts w:eastAsiaTheme="minorEastAsia" w:cstheme="minorBidi"/>
      <w:b/>
      <w:lang w:eastAsia="en-NZ"/>
    </w:rPr>
  </w:style>
  <w:style w:type="character" w:customStyle="1" w:styleId="Heading3Char">
    <w:name w:val="Heading 3 Char"/>
    <w:link w:val="Heading3"/>
    <w:rsid w:val="008C66D7"/>
    <w:rPr>
      <w:rFonts w:ascii="Calibri" w:eastAsiaTheme="majorEastAsia" w:hAnsi="Calibri" w:cstheme="majorBidi"/>
      <w:b/>
      <w:bCs/>
      <w:sz w:val="28"/>
      <w:szCs w:val="28"/>
      <w:lang w:eastAsia="en-NZ"/>
    </w:rPr>
  </w:style>
  <w:style w:type="paragraph" w:styleId="FootnoteText">
    <w:name w:val="footnote text"/>
    <w:basedOn w:val="Normal"/>
    <w:link w:val="FootnoteTextChar"/>
    <w:uiPriority w:val="99"/>
    <w:qFormat/>
    <w:rsid w:val="0047070D"/>
    <w:pPr>
      <w:tabs>
        <w:tab w:val="left" w:pos="397"/>
      </w:tabs>
      <w:spacing w:before="40"/>
      <w:ind w:left="397" w:hanging="397"/>
    </w:pPr>
    <w:rPr>
      <w:rFonts w:asciiTheme="minorHAnsi" w:hAnsiTheme="minorHAnsi"/>
      <w:sz w:val="18"/>
      <w:szCs w:val="20"/>
    </w:rPr>
  </w:style>
  <w:style w:type="character" w:customStyle="1" w:styleId="FootnoteTextChar">
    <w:name w:val="Footnote Text Char"/>
    <w:link w:val="FootnoteText"/>
    <w:uiPriority w:val="99"/>
    <w:rsid w:val="0047070D"/>
    <w:rPr>
      <w:sz w:val="18"/>
      <w:szCs w:val="20"/>
    </w:rPr>
  </w:style>
  <w:style w:type="paragraph" w:styleId="Caption">
    <w:name w:val="caption"/>
    <w:next w:val="BodyText"/>
    <w:uiPriority w:val="8"/>
    <w:semiHidden/>
    <w:qFormat/>
    <w:rsid w:val="0047070D"/>
    <w:pPr>
      <w:spacing w:before="240" w:after="120"/>
    </w:pPr>
    <w:rPr>
      <w:b/>
      <w:bCs/>
      <w:color w:val="00242F" w:themeColor="text2"/>
      <w:szCs w:val="18"/>
    </w:rPr>
  </w:style>
  <w:style w:type="paragraph" w:styleId="ListNumber">
    <w:name w:val="List Number"/>
    <w:basedOn w:val="BodyText"/>
    <w:uiPriority w:val="1"/>
    <w:semiHidden/>
    <w:qFormat/>
    <w:rsid w:val="0047070D"/>
    <w:pPr>
      <w:numPr>
        <w:numId w:val="2"/>
      </w:numPr>
    </w:pPr>
    <w:rPr>
      <w:rFonts w:ascii="Calibri" w:hAnsi="Calibri"/>
    </w:rPr>
  </w:style>
  <w:style w:type="paragraph" w:styleId="Subtitle">
    <w:name w:val="Subtitle"/>
    <w:basedOn w:val="Normal"/>
    <w:link w:val="SubtitleChar"/>
    <w:uiPriority w:val="2"/>
    <w:qFormat/>
    <w:rsid w:val="0047070D"/>
    <w:pPr>
      <w:outlineLvl w:val="1"/>
    </w:pPr>
    <w:rPr>
      <w:rFonts w:asciiTheme="majorHAnsi" w:eastAsiaTheme="majorEastAsia" w:hAnsiTheme="majorHAnsi" w:cstheme="majorBidi"/>
      <w:b/>
      <w:bCs/>
      <w:spacing w:val="10"/>
      <w:sz w:val="40"/>
      <w:szCs w:val="28"/>
    </w:rPr>
  </w:style>
  <w:style w:type="character" w:customStyle="1" w:styleId="SubtitleChar">
    <w:name w:val="Subtitle Char"/>
    <w:link w:val="Subtitle"/>
    <w:uiPriority w:val="2"/>
    <w:rsid w:val="0047070D"/>
    <w:rPr>
      <w:rFonts w:asciiTheme="majorHAnsi" w:eastAsiaTheme="majorEastAsia" w:hAnsiTheme="majorHAnsi" w:cstheme="majorBidi"/>
      <w:b/>
      <w:bCs/>
      <w:spacing w:val="10"/>
      <w:sz w:val="40"/>
      <w:szCs w:val="28"/>
    </w:rPr>
  </w:style>
  <w:style w:type="character" w:styleId="Strong">
    <w:name w:val="Strong"/>
    <w:uiPriority w:val="3"/>
    <w:qFormat/>
    <w:rsid w:val="0047070D"/>
    <w:rPr>
      <w:b/>
      <w:bCs/>
      <w:lang w:val="en-NZ"/>
    </w:rPr>
  </w:style>
  <w:style w:type="character" w:styleId="Emphasis">
    <w:name w:val="Emphasis"/>
    <w:uiPriority w:val="4"/>
    <w:qFormat/>
    <w:rsid w:val="0047070D"/>
    <w:rPr>
      <w:i/>
      <w:iCs/>
    </w:rPr>
  </w:style>
  <w:style w:type="paragraph" w:styleId="Quote">
    <w:name w:val="Quote"/>
    <w:basedOn w:val="BodyText"/>
    <w:next w:val="BodyText"/>
    <w:link w:val="QuoteChar"/>
    <w:uiPriority w:val="2"/>
    <w:qFormat/>
    <w:rsid w:val="0047070D"/>
    <w:pPr>
      <w:spacing w:after="280"/>
      <w:ind w:left="397" w:right="397"/>
    </w:pPr>
    <w:rPr>
      <w:rFonts w:ascii="Calibri" w:hAnsi="Calibri"/>
      <w:szCs w:val="21"/>
    </w:rPr>
  </w:style>
  <w:style w:type="character" w:customStyle="1" w:styleId="QuoteChar">
    <w:name w:val="Quote Char"/>
    <w:link w:val="Quote"/>
    <w:uiPriority w:val="2"/>
    <w:rsid w:val="0047070D"/>
    <w:rPr>
      <w:rFonts w:ascii="Calibri" w:hAnsi="Calibri"/>
      <w:szCs w:val="21"/>
    </w:rPr>
  </w:style>
  <w:style w:type="paragraph" w:styleId="TOCHeading">
    <w:name w:val="TOC Heading"/>
    <w:basedOn w:val="Heading1"/>
    <w:next w:val="Normal"/>
    <w:uiPriority w:val="39"/>
    <w:unhideWhenUsed/>
    <w:qFormat/>
    <w:rsid w:val="0047070D"/>
    <w:pPr>
      <w:tabs>
        <w:tab w:val="clear" w:pos="851"/>
      </w:tabs>
      <w:outlineLvl w:val="9"/>
    </w:pPr>
    <w:rPr>
      <w:szCs w:val="28"/>
    </w:rPr>
  </w:style>
  <w:style w:type="paragraph" w:customStyle="1" w:styleId="Box">
    <w:name w:val="Box"/>
    <w:basedOn w:val="Normal"/>
    <w:uiPriority w:val="1"/>
    <w:qFormat/>
    <w:rsid w:val="00763CC5"/>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heading0">
    <w:name w:val="Box heading"/>
    <w:basedOn w:val="Box"/>
    <w:next w:val="Box"/>
    <w:uiPriority w:val="1"/>
    <w:qFormat/>
    <w:rsid w:val="00763CC5"/>
    <w:pPr>
      <w:keepNext/>
      <w:spacing w:after="0"/>
    </w:pPr>
    <w:rPr>
      <w:b/>
    </w:rPr>
  </w:style>
  <w:style w:type="character" w:styleId="Hyperlink">
    <w:name w:val="Hyperlink"/>
    <w:uiPriority w:val="99"/>
    <w:qFormat/>
    <w:rsid w:val="00763CC5"/>
    <w:rPr>
      <w:color w:val="32809C"/>
      <w:u w:val="none"/>
    </w:rPr>
  </w:style>
  <w:style w:type="paragraph" w:styleId="TOC1">
    <w:name w:val="toc 1"/>
    <w:basedOn w:val="Normal"/>
    <w:next w:val="Normal"/>
    <w:autoRedefine/>
    <w:uiPriority w:val="39"/>
    <w:unhideWhenUsed/>
    <w:rsid w:val="0018549A"/>
    <w:pPr>
      <w:spacing w:after="100"/>
    </w:pPr>
  </w:style>
  <w:style w:type="paragraph" w:styleId="TOC2">
    <w:name w:val="toc 2"/>
    <w:basedOn w:val="Normal"/>
    <w:next w:val="Normal"/>
    <w:autoRedefine/>
    <w:uiPriority w:val="39"/>
    <w:unhideWhenUsed/>
    <w:rsid w:val="000655DA"/>
    <w:pPr>
      <w:tabs>
        <w:tab w:val="right" w:leader="dot" w:pos="9016"/>
      </w:tabs>
      <w:spacing w:after="100"/>
      <w:ind w:left="220" w:firstLine="206"/>
    </w:pPr>
  </w:style>
  <w:style w:type="paragraph" w:styleId="BalloonText">
    <w:name w:val="Balloon Text"/>
    <w:basedOn w:val="Normal"/>
    <w:link w:val="BalloonTextChar"/>
    <w:uiPriority w:val="99"/>
    <w:semiHidden/>
    <w:unhideWhenUsed/>
    <w:rsid w:val="001854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9A"/>
    <w:rPr>
      <w:rFonts w:ascii="Tahoma" w:eastAsiaTheme="minorEastAsia" w:hAnsi="Tahoma" w:cs="Tahoma"/>
      <w:sz w:val="16"/>
      <w:szCs w:val="16"/>
      <w:lang w:eastAsia="en-NZ"/>
    </w:rPr>
  </w:style>
  <w:style w:type="paragraph" w:styleId="TOC3">
    <w:name w:val="toc 3"/>
    <w:basedOn w:val="Normal"/>
    <w:next w:val="Normal"/>
    <w:autoRedefine/>
    <w:uiPriority w:val="39"/>
    <w:unhideWhenUsed/>
    <w:rsid w:val="000655DA"/>
    <w:pPr>
      <w:tabs>
        <w:tab w:val="right" w:leader="dot" w:pos="9016"/>
      </w:tabs>
      <w:spacing w:after="100"/>
      <w:ind w:left="567" w:firstLine="567"/>
    </w:pPr>
  </w:style>
  <w:style w:type="paragraph" w:styleId="Header">
    <w:name w:val="header"/>
    <w:basedOn w:val="Normal"/>
    <w:link w:val="HeaderChar"/>
    <w:unhideWhenUsed/>
    <w:rsid w:val="00996892"/>
    <w:pPr>
      <w:tabs>
        <w:tab w:val="center" w:pos="4513"/>
        <w:tab w:val="right" w:pos="9026"/>
      </w:tabs>
      <w:spacing w:before="0" w:after="0" w:line="240" w:lineRule="auto"/>
    </w:pPr>
  </w:style>
  <w:style w:type="character" w:customStyle="1" w:styleId="HeaderChar">
    <w:name w:val="Header Char"/>
    <w:basedOn w:val="DefaultParagraphFont"/>
    <w:link w:val="Header"/>
    <w:rsid w:val="00996892"/>
    <w:rPr>
      <w:rFonts w:ascii="Calibri" w:eastAsiaTheme="minorEastAsia" w:hAnsi="Calibri" w:cstheme="minorBidi"/>
      <w:lang w:eastAsia="en-NZ"/>
    </w:rPr>
  </w:style>
  <w:style w:type="paragraph" w:styleId="Footer">
    <w:name w:val="footer"/>
    <w:basedOn w:val="Normal"/>
    <w:link w:val="FooterChar"/>
    <w:uiPriority w:val="99"/>
    <w:unhideWhenUsed/>
    <w:rsid w:val="009968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6892"/>
    <w:rPr>
      <w:rFonts w:ascii="Calibri" w:eastAsiaTheme="minorEastAsia" w:hAnsi="Calibri" w:cstheme="minorBidi"/>
      <w:lang w:eastAsia="en-NZ"/>
    </w:rPr>
  </w:style>
  <w:style w:type="character" w:styleId="FootnoteReference">
    <w:name w:val="footnote reference"/>
    <w:basedOn w:val="DefaultParagraphFont"/>
    <w:uiPriority w:val="99"/>
    <w:semiHidden/>
    <w:unhideWhenUsed/>
    <w:rsid w:val="00623C73"/>
    <w:rPr>
      <w:vertAlign w:val="superscript"/>
    </w:rPr>
  </w:style>
  <w:style w:type="table" w:styleId="TableGrid">
    <w:name w:val="Table Grid"/>
    <w:basedOn w:val="TableNormal"/>
    <w:uiPriority w:val="59"/>
    <w:rsid w:val="00B1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Text bold"/>
    <w:basedOn w:val="TableText"/>
    <w:rsid w:val="00BD4025"/>
    <w:pPr>
      <w:spacing w:line="240" w:lineRule="atLeast"/>
      <w:jc w:val="left"/>
    </w:pPr>
    <w:rPr>
      <w:b/>
      <w:sz w:val="18"/>
    </w:rPr>
  </w:style>
  <w:style w:type="table" w:customStyle="1" w:styleId="TableGrid1">
    <w:name w:val="Table Grid1"/>
    <w:basedOn w:val="TableNormal"/>
    <w:uiPriority w:val="59"/>
    <w:rsid w:val="00BD4025"/>
    <w:pPr>
      <w:jc w:val="both"/>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760F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760FC"/>
    <w:rPr>
      <w:rFonts w:ascii="Calibri" w:eastAsiaTheme="minorEastAsia" w:hAnsi="Calibri" w:cstheme="minorBidi"/>
      <w:sz w:val="20"/>
      <w:szCs w:val="20"/>
      <w:lang w:eastAsia="en-NZ"/>
    </w:rPr>
  </w:style>
  <w:style w:type="character" w:styleId="EndnoteReference">
    <w:name w:val="endnote reference"/>
    <w:basedOn w:val="DefaultParagraphFont"/>
    <w:uiPriority w:val="99"/>
    <w:semiHidden/>
    <w:unhideWhenUsed/>
    <w:rsid w:val="009760FC"/>
    <w:rPr>
      <w:vertAlign w:val="superscript"/>
    </w:rPr>
  </w:style>
  <w:style w:type="paragraph" w:styleId="NormalWeb">
    <w:name w:val="Normal (Web)"/>
    <w:basedOn w:val="Normal"/>
    <w:uiPriority w:val="99"/>
    <w:semiHidden/>
    <w:unhideWhenUsed/>
    <w:rsid w:val="00287B97"/>
    <w:pPr>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70D5"/>
    <w:rPr>
      <w:sz w:val="16"/>
      <w:szCs w:val="16"/>
    </w:rPr>
  </w:style>
  <w:style w:type="paragraph" w:styleId="CommentText">
    <w:name w:val="annotation text"/>
    <w:basedOn w:val="Normal"/>
    <w:link w:val="CommentTextChar"/>
    <w:uiPriority w:val="99"/>
    <w:unhideWhenUsed/>
    <w:rsid w:val="00FD70D5"/>
    <w:pPr>
      <w:spacing w:line="240" w:lineRule="auto"/>
    </w:pPr>
    <w:rPr>
      <w:sz w:val="20"/>
      <w:szCs w:val="20"/>
    </w:rPr>
  </w:style>
  <w:style w:type="character" w:customStyle="1" w:styleId="CommentTextChar">
    <w:name w:val="Comment Text Char"/>
    <w:basedOn w:val="DefaultParagraphFont"/>
    <w:link w:val="CommentText"/>
    <w:uiPriority w:val="99"/>
    <w:rsid w:val="00FD70D5"/>
    <w:rPr>
      <w:rFonts w:ascii="Calibri" w:eastAsiaTheme="minorEastAsia" w:hAnsi="Calibri" w:cstheme="minorBidi"/>
      <w:sz w:val="20"/>
      <w:szCs w:val="20"/>
      <w:lang w:eastAsia="en-NZ"/>
    </w:rPr>
  </w:style>
  <w:style w:type="paragraph" w:styleId="CommentSubject">
    <w:name w:val="annotation subject"/>
    <w:basedOn w:val="CommentText"/>
    <w:next w:val="CommentText"/>
    <w:link w:val="CommentSubjectChar"/>
    <w:uiPriority w:val="99"/>
    <w:semiHidden/>
    <w:unhideWhenUsed/>
    <w:rsid w:val="00FD70D5"/>
    <w:rPr>
      <w:b/>
      <w:bCs/>
    </w:rPr>
  </w:style>
  <w:style w:type="character" w:customStyle="1" w:styleId="CommentSubjectChar">
    <w:name w:val="Comment Subject Char"/>
    <w:basedOn w:val="CommentTextChar"/>
    <w:link w:val="CommentSubject"/>
    <w:uiPriority w:val="99"/>
    <w:semiHidden/>
    <w:rsid w:val="00FD70D5"/>
    <w:rPr>
      <w:rFonts w:ascii="Calibri" w:eastAsiaTheme="minorEastAsia" w:hAnsi="Calibri" w:cstheme="minorBidi"/>
      <w:b/>
      <w:bCs/>
      <w:sz w:val="20"/>
      <w:szCs w:val="20"/>
      <w:lang w:eastAsia="en-NZ"/>
    </w:rPr>
  </w:style>
  <w:style w:type="paragraph" w:styleId="Revision">
    <w:name w:val="Revision"/>
    <w:hidden/>
    <w:uiPriority w:val="99"/>
    <w:semiHidden/>
    <w:rsid w:val="00AE2288"/>
    <w:rPr>
      <w:rFonts w:ascii="Calibri" w:eastAsiaTheme="minorEastAsia" w:hAnsi="Calibri" w:cstheme="minorBidi"/>
      <w:lang w:eastAsia="en-NZ"/>
    </w:rPr>
  </w:style>
  <w:style w:type="paragraph" w:customStyle="1" w:styleId="Default">
    <w:name w:val="Default"/>
    <w:rsid w:val="005573B4"/>
    <w:pPr>
      <w:autoSpaceDE w:val="0"/>
      <w:autoSpaceDN w:val="0"/>
      <w:adjustRightInd w:val="0"/>
    </w:pPr>
    <w:rPr>
      <w:rFonts w:ascii="Times New Roman" w:hAnsi="Times New Roman"/>
      <w:color w:val="000000"/>
      <w:sz w:val="24"/>
      <w:szCs w:val="24"/>
    </w:rPr>
  </w:style>
  <w:style w:type="table" w:customStyle="1" w:styleId="GridTable4Accent1">
    <w:name w:val="Grid Table 4 Accent 1"/>
    <w:basedOn w:val="TableNormal"/>
    <w:uiPriority w:val="49"/>
    <w:rsid w:val="00F93B31"/>
    <w:rPr>
      <w:rFonts w:eastAsiaTheme="minorEastAsia" w:cstheme="minorBidi"/>
      <w:sz w:val="24"/>
      <w:szCs w:val="24"/>
      <w:lang w:val="en-US"/>
    </w:rPr>
    <w:tblPr>
      <w:tblStyleRowBandSize w:val="1"/>
      <w:tblStyleColBandSize w:val="1"/>
      <w:tblBorders>
        <w:top w:val="single" w:sz="4" w:space="0" w:color="2AFF7F" w:themeColor="accent1" w:themeTint="99"/>
        <w:left w:val="single" w:sz="4" w:space="0" w:color="2AFF7F" w:themeColor="accent1" w:themeTint="99"/>
        <w:bottom w:val="single" w:sz="4" w:space="0" w:color="2AFF7F" w:themeColor="accent1" w:themeTint="99"/>
        <w:right w:val="single" w:sz="4" w:space="0" w:color="2AFF7F" w:themeColor="accent1" w:themeTint="99"/>
        <w:insideH w:val="single" w:sz="4" w:space="0" w:color="2AFF7F" w:themeColor="accent1" w:themeTint="99"/>
        <w:insideV w:val="single" w:sz="4" w:space="0" w:color="2AFF7F" w:themeColor="accent1" w:themeTint="99"/>
      </w:tblBorders>
    </w:tblPr>
    <w:tblStylePr w:type="firstRow">
      <w:rPr>
        <w:b/>
        <w:bCs/>
        <w:color w:val="FFFFFF" w:themeColor="background1"/>
      </w:rPr>
      <w:tblPr/>
      <w:tcPr>
        <w:tcBorders>
          <w:top w:val="single" w:sz="4" w:space="0" w:color="009B3E" w:themeColor="accent1"/>
          <w:left w:val="single" w:sz="4" w:space="0" w:color="009B3E" w:themeColor="accent1"/>
          <w:bottom w:val="single" w:sz="4" w:space="0" w:color="009B3E" w:themeColor="accent1"/>
          <w:right w:val="single" w:sz="4" w:space="0" w:color="009B3E" w:themeColor="accent1"/>
          <w:insideH w:val="nil"/>
          <w:insideV w:val="nil"/>
        </w:tcBorders>
        <w:shd w:val="clear" w:color="auto" w:fill="009B3E" w:themeFill="accent1"/>
      </w:tcPr>
    </w:tblStylePr>
    <w:tblStylePr w:type="lastRow">
      <w:rPr>
        <w:b/>
        <w:bCs/>
      </w:rPr>
      <w:tblPr/>
      <w:tcPr>
        <w:tcBorders>
          <w:top w:val="double" w:sz="4" w:space="0" w:color="009B3E" w:themeColor="accent1"/>
        </w:tcBorders>
      </w:tcPr>
    </w:tblStylePr>
    <w:tblStylePr w:type="firstCol">
      <w:rPr>
        <w:b/>
        <w:bCs/>
      </w:rPr>
    </w:tblStylePr>
    <w:tblStylePr w:type="lastCol">
      <w:rPr>
        <w:b/>
        <w:bCs/>
      </w:rPr>
    </w:tblStylePr>
    <w:tblStylePr w:type="band1Vert">
      <w:tblPr/>
      <w:tcPr>
        <w:shd w:val="clear" w:color="auto" w:fill="B8FFD4" w:themeFill="accent1" w:themeFillTint="33"/>
      </w:tcPr>
    </w:tblStylePr>
    <w:tblStylePr w:type="band1Horz">
      <w:tblPr/>
      <w:tcPr>
        <w:shd w:val="clear" w:color="auto" w:fill="B8FFD4" w:themeFill="accent1" w:themeFillTint="33"/>
      </w:tcPr>
    </w:tblStylePr>
  </w:style>
  <w:style w:type="paragraph" w:customStyle="1" w:styleId="Heading">
    <w:name w:val="Heading"/>
    <w:basedOn w:val="Heading1"/>
    <w:next w:val="Normal"/>
    <w:uiPriority w:val="3"/>
    <w:rsid w:val="007401A0"/>
    <w:rPr>
      <w:rFonts w:ascii="Calibri" w:hAnsi="Calibri"/>
      <w:sz w:val="48"/>
      <w:szCs w:val="28"/>
    </w:rPr>
  </w:style>
  <w:style w:type="paragraph" w:customStyle="1" w:styleId="Sub-list">
    <w:name w:val="Sub-list"/>
    <w:basedOn w:val="Normal"/>
    <w:qFormat/>
    <w:rsid w:val="007401A0"/>
    <w:pPr>
      <w:numPr>
        <w:numId w:val="21"/>
      </w:numPr>
      <w:tabs>
        <w:tab w:val="clear" w:pos="397"/>
        <w:tab w:val="left" w:pos="794"/>
      </w:tabs>
      <w:spacing w:before="0"/>
      <w:ind w:left="794" w:hanging="397"/>
      <w:jc w:val="left"/>
    </w:pPr>
  </w:style>
  <w:style w:type="paragraph" w:customStyle="1" w:styleId="Imprint">
    <w:name w:val="Imprint"/>
    <w:basedOn w:val="Normal"/>
    <w:uiPriority w:val="3"/>
    <w:rsid w:val="007401A0"/>
    <w:pPr>
      <w:jc w:val="left"/>
    </w:pPr>
  </w:style>
  <w:style w:type="paragraph" w:customStyle="1" w:styleId="Sub-lista">
    <w:name w:val="Sub-list a"/>
    <w:aliases w:val="b"/>
    <w:basedOn w:val="Normal"/>
    <w:uiPriority w:val="2"/>
    <w:rsid w:val="007401A0"/>
    <w:pPr>
      <w:numPr>
        <w:numId w:val="22"/>
      </w:numPr>
      <w:spacing w:before="0"/>
      <w:ind w:left="794" w:hanging="397"/>
      <w:jc w:val="left"/>
    </w:pPr>
  </w:style>
  <w:style w:type="character" w:styleId="FollowedHyperlink">
    <w:name w:val="FollowedHyperlink"/>
    <w:basedOn w:val="DefaultParagraphFont"/>
    <w:uiPriority w:val="99"/>
    <w:semiHidden/>
    <w:unhideWhenUsed/>
    <w:rsid w:val="00452F37"/>
    <w:rPr>
      <w:color w:val="009B3E" w:themeColor="followedHyperlink"/>
      <w:u w:val="single"/>
    </w:rPr>
  </w:style>
  <w:style w:type="character" w:customStyle="1" w:styleId="BulletChar">
    <w:name w:val="Bullet Char"/>
    <w:basedOn w:val="DefaultParagraphFont"/>
    <w:link w:val="Bullet"/>
    <w:locked/>
    <w:rsid w:val="00413D25"/>
    <w:rPr>
      <w:rFonts w:ascii="Calibri" w:eastAsiaTheme="minorEastAsia" w:hAnsi="Calibri" w:cstheme="minorBidi"/>
      <w:lang w:eastAsia="en-NZ"/>
    </w:rPr>
  </w:style>
  <w:style w:type="paragraph" w:customStyle="1" w:styleId="Tableheading0">
    <w:name w:val="Table heading"/>
    <w:basedOn w:val="Normal"/>
    <w:next w:val="Normal"/>
    <w:qFormat/>
    <w:rsid w:val="00DD4142"/>
    <w:pPr>
      <w:keepNext/>
      <w:ind w:left="1134" w:hanging="1134"/>
      <w:jc w:val="left"/>
    </w:pPr>
    <w:rPr>
      <w:b/>
      <w:sz w:val="20"/>
    </w:rPr>
  </w:style>
  <w:style w:type="paragraph" w:customStyle="1" w:styleId="Footerodd">
    <w:name w:val="Footer odd"/>
    <w:basedOn w:val="Normal"/>
    <w:uiPriority w:val="1"/>
    <w:rsid w:val="000F4017"/>
    <w:pPr>
      <w:tabs>
        <w:tab w:val="right" w:pos="7938"/>
        <w:tab w:val="right" w:pos="8505"/>
      </w:tabs>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8" w:qFormat="1"/>
    <w:lsdException w:name="List Bullet" w:uiPriority="0" w:qFormat="1"/>
    <w:lsdException w:name="List Number" w:uiPriority="1" w:qFormat="1"/>
    <w:lsdException w:name="List Bullet 2" w:uiPriority="1" w:qFormat="1"/>
    <w:lsdException w:name="Title" w:semiHidden="0" w:uiPriority="2" w:unhideWhenUsed="0" w:qFormat="1"/>
    <w:lsdException w:name="Default Paragraph Font" w:uiPriority="1"/>
    <w:lsdException w:name="Body Text" w:uiPriority="0" w:qFormat="1"/>
    <w:lsdException w:name="Subtitle" w:semiHidden="0" w:uiPriority="2" w:unhideWhenUsed="0" w:qFormat="1"/>
    <w:lsdException w:name="Hyperlink" w:qFormat="1"/>
    <w:lsdException w:name="Strong" w:semiHidden="0" w:uiPriority="3"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qFormat/>
    <w:rsid w:val="00763CC5"/>
    <w:pPr>
      <w:spacing w:before="120" w:after="120" w:line="280" w:lineRule="atLeast"/>
      <w:jc w:val="both"/>
    </w:pPr>
    <w:rPr>
      <w:rFonts w:ascii="Calibri" w:eastAsiaTheme="minorEastAsia" w:hAnsi="Calibri" w:cstheme="minorBidi"/>
      <w:lang w:eastAsia="en-NZ"/>
    </w:rPr>
  </w:style>
  <w:style w:type="paragraph" w:styleId="Heading1">
    <w:name w:val="heading 1"/>
    <w:aliases w:val="Heading 1 Blue"/>
    <w:next w:val="BodyText"/>
    <w:link w:val="Heading1Char"/>
    <w:qFormat/>
    <w:rsid w:val="00262001"/>
    <w:pPr>
      <w:keepNext/>
      <w:tabs>
        <w:tab w:val="left" w:pos="851"/>
      </w:tabs>
      <w:spacing w:after="360"/>
      <w:outlineLvl w:val="0"/>
    </w:pPr>
    <w:rPr>
      <w:rFonts w:eastAsiaTheme="majorEastAsia" w:cstheme="majorBidi"/>
      <w:b/>
      <w:bCs/>
      <w:color w:val="1C556C"/>
      <w:sz w:val="56"/>
      <w:szCs w:val="56"/>
      <w:lang w:eastAsia="en-NZ"/>
    </w:rPr>
  </w:style>
  <w:style w:type="paragraph" w:styleId="Heading2">
    <w:name w:val="heading 2"/>
    <w:next w:val="BodyText"/>
    <w:link w:val="Heading2Char"/>
    <w:qFormat/>
    <w:rsid w:val="00262001"/>
    <w:pPr>
      <w:keepNext/>
      <w:tabs>
        <w:tab w:val="left" w:pos="851"/>
      </w:tabs>
      <w:spacing w:before="360"/>
      <w:outlineLvl w:val="1"/>
    </w:pPr>
    <w:rPr>
      <w:rFonts w:ascii="Calibri" w:eastAsiaTheme="majorEastAsia" w:hAnsi="Calibri" w:cstheme="majorBidi"/>
      <w:b/>
      <w:bCs/>
      <w:color w:val="0F7B7D"/>
      <w:sz w:val="40"/>
      <w:szCs w:val="40"/>
      <w:lang w:eastAsia="en-NZ"/>
    </w:rPr>
  </w:style>
  <w:style w:type="paragraph" w:styleId="Heading3">
    <w:name w:val="heading 3"/>
    <w:basedOn w:val="Heading2"/>
    <w:next w:val="BodyText"/>
    <w:link w:val="Heading3Char"/>
    <w:qFormat/>
    <w:rsid w:val="008C66D7"/>
    <w:pPr>
      <w:outlineLvl w:val="2"/>
    </w:pPr>
    <w:rPr>
      <w:color w:val="auto"/>
      <w:sz w:val="28"/>
      <w:szCs w:val="28"/>
    </w:rPr>
  </w:style>
  <w:style w:type="paragraph" w:styleId="Heading4">
    <w:name w:val="heading 4"/>
    <w:next w:val="BodyText"/>
    <w:link w:val="Heading4Char"/>
    <w:qFormat/>
    <w:rsid w:val="0047070D"/>
    <w:pPr>
      <w:keepNext/>
      <w:keepLines/>
      <w:spacing w:before="360"/>
      <w:outlineLvl w:val="3"/>
    </w:pPr>
    <w:rPr>
      <w:rFonts w:ascii="Calibri" w:eastAsiaTheme="majorEastAsia" w:hAnsi="Calibri" w:cstheme="majorBidi"/>
      <w:b/>
      <w:bCs/>
      <w:sz w:val="30"/>
      <w:szCs w:val="24"/>
    </w:rPr>
  </w:style>
  <w:style w:type="paragraph" w:styleId="Heading5">
    <w:name w:val="heading 5"/>
    <w:next w:val="BodyText"/>
    <w:link w:val="Heading5Char"/>
    <w:qFormat/>
    <w:rsid w:val="0047070D"/>
    <w:pPr>
      <w:keepNext/>
      <w:keepLines/>
      <w:spacing w:before="240"/>
      <w:outlineLvl w:val="4"/>
    </w:pPr>
    <w:rPr>
      <w:rFonts w:asciiTheme="majorHAnsi" w:eastAsiaTheme="majorEastAsia" w:hAnsiTheme="majorHAnsi" w:cs="Arial"/>
      <w:b/>
      <w:bCs/>
      <w:i/>
      <w:iCs/>
      <w:color w:val="00242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Blue Char"/>
    <w:link w:val="Heading1"/>
    <w:rsid w:val="00262001"/>
    <w:rPr>
      <w:rFonts w:eastAsiaTheme="majorEastAsia" w:cstheme="majorBidi"/>
      <w:b/>
      <w:bCs/>
      <w:color w:val="1C556C"/>
      <w:sz w:val="56"/>
      <w:szCs w:val="56"/>
      <w:lang w:eastAsia="en-NZ"/>
    </w:rPr>
  </w:style>
  <w:style w:type="paragraph" w:customStyle="1" w:styleId="Heading1Green">
    <w:name w:val="Heading 1 Green"/>
    <w:basedOn w:val="Heading1"/>
    <w:next w:val="BodyText"/>
    <w:rsid w:val="00717A53"/>
    <w:rPr>
      <w:color w:val="23BCB9"/>
    </w:rPr>
  </w:style>
  <w:style w:type="paragraph" w:styleId="BodyText">
    <w:name w:val="Body Text"/>
    <w:basedOn w:val="Normal"/>
    <w:link w:val="BodyTextChar"/>
    <w:qFormat/>
    <w:rsid w:val="000661E2"/>
    <w:pPr>
      <w:jc w:val="left"/>
    </w:pPr>
    <w:rPr>
      <w:rFonts w:asciiTheme="minorHAnsi" w:hAnsiTheme="minorHAnsi"/>
    </w:rPr>
  </w:style>
  <w:style w:type="character" w:customStyle="1" w:styleId="BodyTextChar">
    <w:name w:val="Body Text Char"/>
    <w:link w:val="BodyText"/>
    <w:rsid w:val="000661E2"/>
    <w:rPr>
      <w:rFonts w:eastAsiaTheme="minorEastAsia" w:cstheme="minorBidi"/>
      <w:lang w:eastAsia="en-NZ"/>
    </w:rPr>
  </w:style>
  <w:style w:type="paragraph" w:customStyle="1" w:styleId="WDHeading1Blue">
    <w:name w:val="WD Heading 1 Blue"/>
    <w:basedOn w:val="Heading1"/>
    <w:link w:val="WDHeading1BlueChar"/>
    <w:rsid w:val="007C2F09"/>
  </w:style>
  <w:style w:type="character" w:customStyle="1" w:styleId="WDHeading1BlueChar">
    <w:name w:val="WD Heading 1 Blue Char"/>
    <w:basedOn w:val="DefaultParagraphFont"/>
    <w:link w:val="WDHeading1Blue"/>
    <w:rsid w:val="007C2F09"/>
    <w:rPr>
      <w:rFonts w:ascii="Calibri" w:eastAsiaTheme="majorEastAsia" w:hAnsi="Calibri" w:cstheme="majorBidi"/>
      <w:b/>
      <w:bCs/>
      <w:color w:val="0092CF"/>
      <w:sz w:val="60"/>
      <w:szCs w:val="28"/>
      <w:lang w:eastAsia="en-NZ"/>
    </w:rPr>
  </w:style>
  <w:style w:type="paragraph" w:customStyle="1" w:styleId="WDHeading1Green">
    <w:name w:val="WD Heading 1 Green"/>
    <w:basedOn w:val="Normal"/>
    <w:link w:val="WDHeading1GreenChar"/>
    <w:rsid w:val="007C2F09"/>
    <w:pPr>
      <w:keepNext/>
      <w:keepLines/>
      <w:tabs>
        <w:tab w:val="left" w:pos="851"/>
      </w:tabs>
      <w:spacing w:after="360"/>
      <w:outlineLvl w:val="0"/>
    </w:pPr>
    <w:rPr>
      <w:rFonts w:eastAsiaTheme="majorEastAsia" w:cstheme="majorBidi"/>
      <w:b/>
      <w:bCs/>
      <w:color w:val="23BCB9"/>
      <w:sz w:val="60"/>
      <w:szCs w:val="28"/>
    </w:rPr>
  </w:style>
  <w:style w:type="character" w:customStyle="1" w:styleId="WDHeading1GreenChar">
    <w:name w:val="WD Heading 1 Green Char"/>
    <w:basedOn w:val="DefaultParagraphFont"/>
    <w:link w:val="WDHeading1Green"/>
    <w:rsid w:val="007C2F09"/>
    <w:rPr>
      <w:rFonts w:ascii="Calibri" w:eastAsiaTheme="majorEastAsia" w:hAnsi="Calibri" w:cstheme="majorBidi"/>
      <w:b/>
      <w:bCs/>
      <w:color w:val="23BCB9"/>
      <w:sz w:val="60"/>
      <w:szCs w:val="28"/>
      <w:lang w:eastAsia="en-NZ"/>
    </w:rPr>
  </w:style>
  <w:style w:type="paragraph" w:customStyle="1" w:styleId="WDHeading2">
    <w:name w:val="WD Heading 2"/>
    <w:basedOn w:val="Heading2"/>
    <w:link w:val="WDHeading2Char"/>
    <w:rsid w:val="007C2F09"/>
    <w:pPr>
      <w:tabs>
        <w:tab w:val="left" w:pos="737"/>
      </w:tabs>
      <w:spacing w:before="280"/>
    </w:pPr>
    <w:rPr>
      <w:color w:val="23BCB9"/>
      <w:sz w:val="32"/>
    </w:rPr>
  </w:style>
  <w:style w:type="character" w:customStyle="1" w:styleId="WDHeading2Char">
    <w:name w:val="WD Heading 2 Char"/>
    <w:basedOn w:val="Heading2Char"/>
    <w:link w:val="WDHeading2"/>
    <w:rsid w:val="007C2F09"/>
    <w:rPr>
      <w:rFonts w:ascii="Calibri" w:eastAsiaTheme="majorEastAsia" w:hAnsi="Calibri" w:cstheme="majorBidi"/>
      <w:b/>
      <w:bCs/>
      <w:color w:val="23BCB9"/>
      <w:sz w:val="32"/>
      <w:szCs w:val="26"/>
      <w:lang w:eastAsia="en-NZ"/>
    </w:rPr>
  </w:style>
  <w:style w:type="character" w:customStyle="1" w:styleId="Heading2Char">
    <w:name w:val="Heading 2 Char"/>
    <w:link w:val="Heading2"/>
    <w:rsid w:val="00262001"/>
    <w:rPr>
      <w:rFonts w:ascii="Calibri" w:eastAsiaTheme="majorEastAsia" w:hAnsi="Calibri" w:cstheme="majorBidi"/>
      <w:b/>
      <w:bCs/>
      <w:color w:val="0F7B7D"/>
      <w:sz w:val="40"/>
      <w:szCs w:val="40"/>
      <w:lang w:eastAsia="en-NZ"/>
    </w:rPr>
  </w:style>
  <w:style w:type="paragraph" w:customStyle="1" w:styleId="WDHeading3">
    <w:name w:val="WD Heading 3"/>
    <w:basedOn w:val="Normal"/>
    <w:link w:val="WDHeading3Char"/>
    <w:rsid w:val="007C2F09"/>
    <w:pPr>
      <w:keepNext/>
      <w:keepLines/>
      <w:tabs>
        <w:tab w:val="left" w:pos="851"/>
      </w:tabs>
      <w:spacing w:before="360"/>
      <w:outlineLvl w:val="2"/>
    </w:pPr>
    <w:rPr>
      <w:rFonts w:eastAsiaTheme="majorEastAsia" w:cstheme="majorBidi"/>
      <w:b/>
      <w:bCs/>
      <w:color w:val="0092CF"/>
      <w:sz w:val="28"/>
    </w:rPr>
  </w:style>
  <w:style w:type="character" w:customStyle="1" w:styleId="WDHeading3Char">
    <w:name w:val="WD Heading 3 Char"/>
    <w:basedOn w:val="DefaultParagraphFont"/>
    <w:link w:val="WDHeading3"/>
    <w:rsid w:val="007C2F09"/>
    <w:rPr>
      <w:rFonts w:ascii="Calibri" w:eastAsiaTheme="majorEastAsia" w:hAnsi="Calibri" w:cstheme="majorBidi"/>
      <w:b/>
      <w:bCs/>
      <w:color w:val="0092CF"/>
      <w:sz w:val="28"/>
      <w:lang w:eastAsia="en-NZ"/>
    </w:rPr>
  </w:style>
  <w:style w:type="paragraph" w:customStyle="1" w:styleId="WDHeading4">
    <w:name w:val="WD Heading 4"/>
    <w:basedOn w:val="Heading4"/>
    <w:link w:val="WDHeading4Char"/>
    <w:rsid w:val="007C2F09"/>
    <w:pPr>
      <w:tabs>
        <w:tab w:val="left" w:pos="851"/>
      </w:tabs>
      <w:spacing w:before="240"/>
    </w:pPr>
    <w:rPr>
      <w:i/>
      <w:iCs/>
      <w:color w:val="00264C"/>
      <w:sz w:val="24"/>
      <w:lang w:eastAsia="en-NZ"/>
    </w:rPr>
  </w:style>
  <w:style w:type="character" w:customStyle="1" w:styleId="WDHeading4Char">
    <w:name w:val="WD Heading 4 Char"/>
    <w:basedOn w:val="Heading4Char"/>
    <w:link w:val="WDHeading4"/>
    <w:rsid w:val="007C2F09"/>
    <w:rPr>
      <w:rFonts w:ascii="Calibri" w:eastAsiaTheme="majorEastAsia" w:hAnsi="Calibri" w:cstheme="majorBidi"/>
      <w:b/>
      <w:bCs/>
      <w:i/>
      <w:iCs/>
      <w:color w:val="00264C"/>
      <w:sz w:val="24"/>
      <w:szCs w:val="24"/>
      <w:lang w:eastAsia="en-NZ"/>
    </w:rPr>
  </w:style>
  <w:style w:type="character" w:customStyle="1" w:styleId="Heading4Char">
    <w:name w:val="Heading 4 Char"/>
    <w:link w:val="Heading4"/>
    <w:rsid w:val="0047070D"/>
    <w:rPr>
      <w:rFonts w:ascii="Calibri" w:eastAsiaTheme="majorEastAsia" w:hAnsi="Calibri" w:cstheme="majorBidi"/>
      <w:b/>
      <w:bCs/>
      <w:sz w:val="30"/>
      <w:szCs w:val="24"/>
    </w:rPr>
  </w:style>
  <w:style w:type="paragraph" w:customStyle="1" w:styleId="WDHeading5">
    <w:name w:val="WD Heading 5"/>
    <w:basedOn w:val="Heading5"/>
    <w:link w:val="WDHeading5Char"/>
    <w:rsid w:val="007C2F09"/>
    <w:pPr>
      <w:spacing w:before="480"/>
      <w:jc w:val="both"/>
    </w:pPr>
    <w:rPr>
      <w:rFonts w:ascii="Calibri" w:hAnsi="Calibri"/>
      <w:i w:val="0"/>
      <w:sz w:val="24"/>
      <w:lang w:eastAsia="en-NZ"/>
    </w:rPr>
  </w:style>
  <w:style w:type="character" w:customStyle="1" w:styleId="WDHeading5Char">
    <w:name w:val="WD Heading 5 Char"/>
    <w:basedOn w:val="Heading5Char"/>
    <w:link w:val="WDHeading5"/>
    <w:rsid w:val="007C2F09"/>
    <w:rPr>
      <w:rFonts w:ascii="Calibri" w:eastAsiaTheme="majorEastAsia" w:hAnsi="Calibri" w:cstheme="majorBidi"/>
      <w:b/>
      <w:bCs/>
      <w:i w:val="0"/>
      <w:iCs/>
      <w:color w:val="004D1E" w:themeColor="accent1" w:themeShade="7F"/>
      <w:sz w:val="24"/>
      <w:szCs w:val="24"/>
      <w:lang w:eastAsia="en-NZ"/>
    </w:rPr>
  </w:style>
  <w:style w:type="character" w:customStyle="1" w:styleId="Heading5Char">
    <w:name w:val="Heading 5 Char"/>
    <w:link w:val="Heading5"/>
    <w:rsid w:val="0047070D"/>
    <w:rPr>
      <w:rFonts w:asciiTheme="majorHAnsi" w:eastAsiaTheme="majorEastAsia" w:hAnsiTheme="majorHAnsi" w:cs="Arial"/>
      <w:b/>
      <w:bCs/>
      <w:i/>
      <w:iCs/>
      <w:color w:val="00242F"/>
      <w:szCs w:val="24"/>
    </w:rPr>
  </w:style>
  <w:style w:type="paragraph" w:customStyle="1" w:styleId="Normaltext">
    <w:name w:val="Normal text"/>
    <w:basedOn w:val="BodyText"/>
    <w:link w:val="NormaltextChar"/>
    <w:rsid w:val="00A04E7E"/>
    <w:rPr>
      <w:rFonts w:ascii="Calibri" w:hAnsi="Calibri"/>
      <w:color w:val="00264C"/>
    </w:rPr>
  </w:style>
  <w:style w:type="character" w:customStyle="1" w:styleId="NormaltextChar">
    <w:name w:val="Normal text Char"/>
    <w:basedOn w:val="DefaultParagraphFont"/>
    <w:link w:val="Normaltext"/>
    <w:rsid w:val="00A04E7E"/>
    <w:rPr>
      <w:rFonts w:ascii="Calibri" w:eastAsia="Times New Roman" w:hAnsi="Calibri"/>
      <w:color w:val="00264C"/>
      <w:lang w:eastAsia="en-NZ"/>
    </w:rPr>
  </w:style>
  <w:style w:type="paragraph" w:customStyle="1" w:styleId="Bullets">
    <w:name w:val="Bullets"/>
    <w:basedOn w:val="ListParagraph"/>
    <w:link w:val="BulletsChar"/>
    <w:rsid w:val="007C2F09"/>
    <w:pPr>
      <w:numPr>
        <w:numId w:val="1"/>
      </w:numPr>
      <w:ind w:left="714" w:hanging="357"/>
      <w:contextualSpacing w:val="0"/>
    </w:pPr>
  </w:style>
  <w:style w:type="character" w:customStyle="1" w:styleId="BulletsChar">
    <w:name w:val="Bullets Char"/>
    <w:basedOn w:val="DefaultParagraphFont"/>
    <w:link w:val="Bullets"/>
    <w:rsid w:val="007C2F09"/>
    <w:rPr>
      <w:rFonts w:ascii="Calibri" w:eastAsiaTheme="minorEastAsia" w:hAnsi="Calibri" w:cstheme="minorBidi"/>
      <w:lang w:eastAsia="en-NZ"/>
    </w:rPr>
  </w:style>
  <w:style w:type="paragraph" w:styleId="ListParagraph">
    <w:name w:val="List Paragraph"/>
    <w:basedOn w:val="Normal"/>
    <w:uiPriority w:val="34"/>
    <w:semiHidden/>
    <w:qFormat/>
    <w:rsid w:val="007C2F09"/>
    <w:pPr>
      <w:ind w:left="720"/>
      <w:contextualSpacing/>
    </w:pPr>
  </w:style>
  <w:style w:type="paragraph" w:styleId="Title">
    <w:name w:val="Title"/>
    <w:aliases w:val="WD Title"/>
    <w:basedOn w:val="Normal"/>
    <w:next w:val="Subtitle"/>
    <w:link w:val="TitleChar"/>
    <w:uiPriority w:val="2"/>
    <w:qFormat/>
    <w:rsid w:val="0047070D"/>
    <w:pPr>
      <w:spacing w:line="216" w:lineRule="auto"/>
      <w:ind w:right="2835"/>
      <w:outlineLvl w:val="0"/>
    </w:pPr>
    <w:rPr>
      <w:rFonts w:eastAsiaTheme="majorEastAsia" w:cstheme="majorBidi"/>
      <w:b/>
      <w:bCs/>
      <w:spacing w:val="10"/>
      <w:sz w:val="76"/>
      <w:szCs w:val="56"/>
    </w:rPr>
  </w:style>
  <w:style w:type="character" w:customStyle="1" w:styleId="TitleChar">
    <w:name w:val="Title Char"/>
    <w:aliases w:val="WD Title Char"/>
    <w:link w:val="Title"/>
    <w:uiPriority w:val="2"/>
    <w:rsid w:val="0047070D"/>
    <w:rPr>
      <w:rFonts w:ascii="Calibri" w:eastAsiaTheme="majorEastAsia" w:hAnsi="Calibri" w:cstheme="majorBidi"/>
      <w:b/>
      <w:bCs/>
      <w:spacing w:val="10"/>
      <w:sz w:val="76"/>
      <w:szCs w:val="56"/>
    </w:rPr>
  </w:style>
  <w:style w:type="paragraph" w:customStyle="1" w:styleId="BoxText">
    <w:name w:val="Box Text"/>
    <w:qFormat/>
    <w:rsid w:val="0047070D"/>
    <w:pPr>
      <w:spacing w:before="120" w:after="120"/>
      <w:ind w:right="397"/>
    </w:pPr>
    <w:rPr>
      <w:rFonts w:ascii="Calibri" w:hAnsi="Calibri"/>
      <w:szCs w:val="20"/>
    </w:rPr>
  </w:style>
  <w:style w:type="paragraph" w:customStyle="1" w:styleId="BoxHeading">
    <w:name w:val="Box Heading"/>
    <w:basedOn w:val="BoxText"/>
    <w:next w:val="BoxText"/>
    <w:qFormat/>
    <w:rsid w:val="0047070D"/>
    <w:pPr>
      <w:keepNext/>
      <w:spacing w:before="200" w:after="200"/>
      <w:contextualSpacing/>
    </w:pPr>
    <w:rPr>
      <w:rFonts w:asciiTheme="majorHAnsi" w:hAnsiTheme="majorHAnsi"/>
      <w:b/>
      <w:bCs/>
      <w:color w:val="00242F" w:themeColor="text2"/>
      <w:szCs w:val="22"/>
    </w:rPr>
  </w:style>
  <w:style w:type="paragraph" w:customStyle="1" w:styleId="BoxAlphaList">
    <w:name w:val="Box Alpha List"/>
    <w:basedOn w:val="BoxText"/>
    <w:uiPriority w:val="3"/>
    <w:qFormat/>
    <w:rsid w:val="0047070D"/>
    <w:pPr>
      <w:numPr>
        <w:numId w:val="3"/>
      </w:numPr>
    </w:pPr>
  </w:style>
  <w:style w:type="paragraph" w:customStyle="1" w:styleId="Note2">
    <w:name w:val="Note2"/>
    <w:uiPriority w:val="6"/>
    <w:semiHidden/>
    <w:qFormat/>
    <w:rsid w:val="0047070D"/>
    <w:pPr>
      <w:numPr>
        <w:numId w:val="4"/>
      </w:numPr>
      <w:spacing w:before="120"/>
    </w:pPr>
    <w:rPr>
      <w:sz w:val="18"/>
      <w:szCs w:val="18"/>
    </w:rPr>
  </w:style>
  <w:style w:type="paragraph" w:customStyle="1" w:styleId="References">
    <w:name w:val="References"/>
    <w:uiPriority w:val="17"/>
    <w:qFormat/>
    <w:rsid w:val="0047070D"/>
    <w:pPr>
      <w:spacing w:after="120"/>
    </w:pPr>
    <w:rPr>
      <w:rFonts w:ascii="Calibri" w:hAnsi="Calibri"/>
      <w:szCs w:val="21"/>
    </w:rPr>
  </w:style>
  <w:style w:type="paragraph" w:customStyle="1" w:styleId="Source">
    <w:name w:val="Source"/>
    <w:next w:val="BodyText"/>
    <w:qFormat/>
    <w:rsid w:val="0047070D"/>
    <w:pPr>
      <w:spacing w:before="120"/>
    </w:pPr>
    <w:rPr>
      <w:sz w:val="18"/>
      <w:szCs w:val="18"/>
    </w:rPr>
  </w:style>
  <w:style w:type="paragraph" w:customStyle="1" w:styleId="BoxBullet">
    <w:name w:val="Box Bullet"/>
    <w:basedOn w:val="BoxText"/>
    <w:qFormat/>
    <w:rsid w:val="0047070D"/>
    <w:pPr>
      <w:numPr>
        <w:numId w:val="5"/>
      </w:numPr>
    </w:pPr>
  </w:style>
  <w:style w:type="paragraph" w:customStyle="1" w:styleId="TOCSubheading">
    <w:name w:val="TOC Subheading"/>
    <w:next w:val="Normal"/>
    <w:uiPriority w:val="11"/>
    <w:semiHidden/>
    <w:unhideWhenUsed/>
    <w:qFormat/>
    <w:rsid w:val="0047070D"/>
    <w:pPr>
      <w:keepNext/>
      <w:spacing w:before="600"/>
    </w:pPr>
    <w:rPr>
      <w:b/>
      <w:sz w:val="32"/>
    </w:rPr>
  </w:style>
  <w:style w:type="paragraph" w:customStyle="1" w:styleId="Glossary">
    <w:name w:val="Glossary"/>
    <w:link w:val="GlossaryChar"/>
    <w:uiPriority w:val="1"/>
    <w:qFormat/>
    <w:rsid w:val="0047070D"/>
    <w:pPr>
      <w:tabs>
        <w:tab w:val="left" w:pos="2835"/>
      </w:tabs>
      <w:spacing w:after="120"/>
      <w:ind w:left="2835" w:hanging="2835"/>
    </w:pPr>
  </w:style>
  <w:style w:type="character" w:customStyle="1" w:styleId="GlossaryChar">
    <w:name w:val="Glossary Char"/>
    <w:basedOn w:val="DefaultParagraphFont"/>
    <w:link w:val="Glossary"/>
    <w:uiPriority w:val="18"/>
    <w:rsid w:val="0047070D"/>
  </w:style>
  <w:style w:type="paragraph" w:customStyle="1" w:styleId="TableBullet">
    <w:name w:val="TableBullet"/>
    <w:basedOn w:val="Normal"/>
    <w:qFormat/>
    <w:rsid w:val="0047070D"/>
    <w:pPr>
      <w:numPr>
        <w:numId w:val="6"/>
      </w:numPr>
      <w:spacing w:before="40" w:after="40"/>
    </w:pPr>
    <w:rPr>
      <w:sz w:val="20"/>
      <w:szCs w:val="18"/>
    </w:rPr>
  </w:style>
  <w:style w:type="paragraph" w:customStyle="1" w:styleId="TableDash">
    <w:name w:val="TableDash"/>
    <w:basedOn w:val="TableBullet"/>
    <w:qFormat/>
    <w:rsid w:val="0047070D"/>
    <w:pPr>
      <w:numPr>
        <w:ilvl w:val="1"/>
      </w:numPr>
    </w:pPr>
  </w:style>
  <w:style w:type="paragraph" w:customStyle="1" w:styleId="Note1">
    <w:name w:val="Note1"/>
    <w:uiPriority w:val="6"/>
    <w:semiHidden/>
    <w:qFormat/>
    <w:rsid w:val="0047070D"/>
    <w:pPr>
      <w:numPr>
        <w:numId w:val="7"/>
      </w:numPr>
      <w:spacing w:before="120"/>
    </w:pPr>
    <w:rPr>
      <w:sz w:val="18"/>
      <w:szCs w:val="18"/>
    </w:rPr>
  </w:style>
  <w:style w:type="paragraph" w:customStyle="1" w:styleId="TextBoxHeading">
    <w:name w:val="Text Box Heading"/>
    <w:basedOn w:val="TextBoxNormal"/>
    <w:uiPriority w:val="14"/>
    <w:semiHidden/>
    <w:qFormat/>
    <w:rsid w:val="0047070D"/>
    <w:rPr>
      <w:b/>
    </w:rPr>
  </w:style>
  <w:style w:type="paragraph" w:customStyle="1" w:styleId="TextBoxNormal">
    <w:name w:val="Text Box Normal"/>
    <w:basedOn w:val="Normal"/>
    <w:uiPriority w:val="14"/>
    <w:semiHidden/>
    <w:qFormat/>
    <w:rsid w:val="0047070D"/>
    <w:rPr>
      <w:color w:val="FFFFFF"/>
    </w:rPr>
  </w:style>
  <w:style w:type="paragraph" w:customStyle="1" w:styleId="QuoteBoxText">
    <w:name w:val="Quote Box Text"/>
    <w:uiPriority w:val="15"/>
    <w:qFormat/>
    <w:rsid w:val="0047070D"/>
    <w:pPr>
      <w:spacing w:before="120"/>
      <w:ind w:left="397" w:right="397"/>
    </w:pPr>
    <w:rPr>
      <w:color w:val="FFFFFF"/>
    </w:rPr>
  </w:style>
  <w:style w:type="paragraph" w:customStyle="1" w:styleId="QuoteBoxHeading">
    <w:name w:val="Quote Box Heading"/>
    <w:basedOn w:val="QuoteBoxText"/>
    <w:uiPriority w:val="15"/>
    <w:qFormat/>
    <w:rsid w:val="0047070D"/>
    <w:pPr>
      <w:spacing w:before="280" w:after="120"/>
    </w:pPr>
    <w:rPr>
      <w:b/>
    </w:rPr>
  </w:style>
  <w:style w:type="paragraph" w:customStyle="1" w:styleId="SectionTitle">
    <w:name w:val="Section Title"/>
    <w:uiPriority w:val="22"/>
    <w:semiHidden/>
    <w:qFormat/>
    <w:rsid w:val="0047070D"/>
    <w:rPr>
      <w:b/>
      <w:color w:val="00242F" w:themeColor="text2"/>
      <w:sz w:val="60"/>
    </w:rPr>
  </w:style>
  <w:style w:type="paragraph" w:customStyle="1" w:styleId="Figureheading">
    <w:name w:val="Figure heading"/>
    <w:basedOn w:val="Normal"/>
    <w:qFormat/>
    <w:rsid w:val="002D7317"/>
    <w:pPr>
      <w:spacing w:before="240"/>
    </w:pPr>
    <w:rPr>
      <w:b/>
      <w:color w:val="267998"/>
    </w:rPr>
  </w:style>
  <w:style w:type="paragraph" w:customStyle="1" w:styleId="TableHeading">
    <w:name w:val="Table Heading"/>
    <w:basedOn w:val="Figureheading"/>
    <w:qFormat/>
    <w:rsid w:val="0047070D"/>
  </w:style>
  <w:style w:type="paragraph" w:customStyle="1" w:styleId="TableBold">
    <w:name w:val="Table Bold"/>
    <w:basedOn w:val="Normal"/>
    <w:qFormat/>
    <w:rsid w:val="0047070D"/>
    <w:pPr>
      <w:spacing w:before="60" w:after="60"/>
    </w:pPr>
    <w:rPr>
      <w:b/>
      <w:sz w:val="20"/>
    </w:rPr>
  </w:style>
  <w:style w:type="paragraph" w:customStyle="1" w:styleId="TableText">
    <w:name w:val="TableText"/>
    <w:basedOn w:val="Normal"/>
    <w:qFormat/>
    <w:rsid w:val="0047070D"/>
    <w:pPr>
      <w:spacing w:before="60" w:after="60"/>
    </w:pPr>
    <w:rPr>
      <w:sz w:val="20"/>
    </w:rPr>
  </w:style>
  <w:style w:type="paragraph" w:customStyle="1" w:styleId="BulletsNPS">
    <w:name w:val="Bullets NPS"/>
    <w:basedOn w:val="ListBullet"/>
    <w:qFormat/>
    <w:rsid w:val="0047070D"/>
    <w:pPr>
      <w:numPr>
        <w:numId w:val="0"/>
      </w:numPr>
    </w:pPr>
  </w:style>
  <w:style w:type="paragraph" w:styleId="ListBullet">
    <w:name w:val="List Bullet"/>
    <w:basedOn w:val="BodyText"/>
    <w:qFormat/>
    <w:rsid w:val="0047070D"/>
    <w:pPr>
      <w:numPr>
        <w:numId w:val="8"/>
      </w:numPr>
    </w:pPr>
    <w:rPr>
      <w:rFonts w:ascii="Calibri" w:hAnsi="Calibri"/>
    </w:rPr>
  </w:style>
  <w:style w:type="paragraph" w:customStyle="1" w:styleId="Bullet">
    <w:name w:val="Bullet"/>
    <w:basedOn w:val="Normal"/>
    <w:link w:val="BulletChar"/>
    <w:qFormat/>
    <w:rsid w:val="0047070D"/>
    <w:pPr>
      <w:keepLines/>
    </w:pPr>
  </w:style>
  <w:style w:type="paragraph" w:customStyle="1" w:styleId="BulletsubNPS">
    <w:name w:val="Bullet sub NPS"/>
    <w:basedOn w:val="ListBullet2"/>
    <w:qFormat/>
    <w:rsid w:val="0047070D"/>
    <w:pPr>
      <w:numPr>
        <w:ilvl w:val="0"/>
        <w:numId w:val="0"/>
      </w:numPr>
    </w:pPr>
  </w:style>
  <w:style w:type="paragraph" w:styleId="ListBullet2">
    <w:name w:val="List Bullet 2"/>
    <w:basedOn w:val="ListBullet"/>
    <w:uiPriority w:val="1"/>
    <w:qFormat/>
    <w:rsid w:val="0047070D"/>
    <w:pPr>
      <w:numPr>
        <w:ilvl w:val="1"/>
      </w:numPr>
    </w:pPr>
  </w:style>
  <w:style w:type="paragraph" w:customStyle="1" w:styleId="Quotebullet">
    <w:name w:val="Quote bullet"/>
    <w:basedOn w:val="ListBullet"/>
    <w:qFormat/>
    <w:rsid w:val="0047070D"/>
    <w:pPr>
      <w:numPr>
        <w:numId w:val="0"/>
      </w:numPr>
      <w:ind w:right="397"/>
    </w:pPr>
  </w:style>
  <w:style w:type="paragraph" w:customStyle="1" w:styleId="Hyperlink1">
    <w:name w:val="Hyperlink1"/>
    <w:basedOn w:val="BodyText"/>
    <w:link w:val="hyperlinkChar"/>
    <w:qFormat/>
    <w:rsid w:val="003625A5"/>
    <w:rPr>
      <w:b/>
    </w:rPr>
  </w:style>
  <w:style w:type="character" w:customStyle="1" w:styleId="hyperlinkChar">
    <w:name w:val="hyperlink Char"/>
    <w:basedOn w:val="BodyTextChar"/>
    <w:link w:val="Hyperlink1"/>
    <w:rsid w:val="003625A5"/>
    <w:rPr>
      <w:rFonts w:eastAsiaTheme="minorEastAsia" w:cstheme="minorBidi"/>
      <w:b/>
      <w:lang w:eastAsia="en-NZ"/>
    </w:rPr>
  </w:style>
  <w:style w:type="character" w:customStyle="1" w:styleId="Heading3Char">
    <w:name w:val="Heading 3 Char"/>
    <w:link w:val="Heading3"/>
    <w:rsid w:val="008C66D7"/>
    <w:rPr>
      <w:rFonts w:ascii="Calibri" w:eastAsiaTheme="majorEastAsia" w:hAnsi="Calibri" w:cstheme="majorBidi"/>
      <w:b/>
      <w:bCs/>
      <w:sz w:val="28"/>
      <w:szCs w:val="28"/>
      <w:lang w:eastAsia="en-NZ"/>
    </w:rPr>
  </w:style>
  <w:style w:type="paragraph" w:styleId="FootnoteText">
    <w:name w:val="footnote text"/>
    <w:basedOn w:val="Normal"/>
    <w:link w:val="FootnoteTextChar"/>
    <w:uiPriority w:val="99"/>
    <w:qFormat/>
    <w:rsid w:val="0047070D"/>
    <w:pPr>
      <w:tabs>
        <w:tab w:val="left" w:pos="397"/>
      </w:tabs>
      <w:spacing w:before="40"/>
      <w:ind w:left="397" w:hanging="397"/>
    </w:pPr>
    <w:rPr>
      <w:rFonts w:asciiTheme="minorHAnsi" w:hAnsiTheme="minorHAnsi"/>
      <w:sz w:val="18"/>
      <w:szCs w:val="20"/>
    </w:rPr>
  </w:style>
  <w:style w:type="character" w:customStyle="1" w:styleId="FootnoteTextChar">
    <w:name w:val="Footnote Text Char"/>
    <w:link w:val="FootnoteText"/>
    <w:uiPriority w:val="99"/>
    <w:rsid w:val="0047070D"/>
    <w:rPr>
      <w:sz w:val="18"/>
      <w:szCs w:val="20"/>
    </w:rPr>
  </w:style>
  <w:style w:type="paragraph" w:styleId="Caption">
    <w:name w:val="caption"/>
    <w:next w:val="BodyText"/>
    <w:uiPriority w:val="8"/>
    <w:semiHidden/>
    <w:qFormat/>
    <w:rsid w:val="0047070D"/>
    <w:pPr>
      <w:spacing w:before="240" w:after="120"/>
    </w:pPr>
    <w:rPr>
      <w:b/>
      <w:bCs/>
      <w:color w:val="00242F" w:themeColor="text2"/>
      <w:szCs w:val="18"/>
    </w:rPr>
  </w:style>
  <w:style w:type="paragraph" w:styleId="ListNumber">
    <w:name w:val="List Number"/>
    <w:basedOn w:val="BodyText"/>
    <w:uiPriority w:val="1"/>
    <w:semiHidden/>
    <w:qFormat/>
    <w:rsid w:val="0047070D"/>
    <w:pPr>
      <w:numPr>
        <w:numId w:val="2"/>
      </w:numPr>
    </w:pPr>
    <w:rPr>
      <w:rFonts w:ascii="Calibri" w:hAnsi="Calibri"/>
    </w:rPr>
  </w:style>
  <w:style w:type="paragraph" w:styleId="Subtitle">
    <w:name w:val="Subtitle"/>
    <w:basedOn w:val="Normal"/>
    <w:link w:val="SubtitleChar"/>
    <w:uiPriority w:val="2"/>
    <w:qFormat/>
    <w:rsid w:val="0047070D"/>
    <w:pPr>
      <w:outlineLvl w:val="1"/>
    </w:pPr>
    <w:rPr>
      <w:rFonts w:asciiTheme="majorHAnsi" w:eastAsiaTheme="majorEastAsia" w:hAnsiTheme="majorHAnsi" w:cstheme="majorBidi"/>
      <w:b/>
      <w:bCs/>
      <w:spacing w:val="10"/>
      <w:sz w:val="40"/>
      <w:szCs w:val="28"/>
    </w:rPr>
  </w:style>
  <w:style w:type="character" w:customStyle="1" w:styleId="SubtitleChar">
    <w:name w:val="Subtitle Char"/>
    <w:link w:val="Subtitle"/>
    <w:uiPriority w:val="2"/>
    <w:rsid w:val="0047070D"/>
    <w:rPr>
      <w:rFonts w:asciiTheme="majorHAnsi" w:eastAsiaTheme="majorEastAsia" w:hAnsiTheme="majorHAnsi" w:cstheme="majorBidi"/>
      <w:b/>
      <w:bCs/>
      <w:spacing w:val="10"/>
      <w:sz w:val="40"/>
      <w:szCs w:val="28"/>
    </w:rPr>
  </w:style>
  <w:style w:type="character" w:styleId="Strong">
    <w:name w:val="Strong"/>
    <w:uiPriority w:val="3"/>
    <w:qFormat/>
    <w:rsid w:val="0047070D"/>
    <w:rPr>
      <w:b/>
      <w:bCs/>
      <w:lang w:val="en-NZ"/>
    </w:rPr>
  </w:style>
  <w:style w:type="character" w:styleId="Emphasis">
    <w:name w:val="Emphasis"/>
    <w:uiPriority w:val="4"/>
    <w:qFormat/>
    <w:rsid w:val="0047070D"/>
    <w:rPr>
      <w:i/>
      <w:iCs/>
    </w:rPr>
  </w:style>
  <w:style w:type="paragraph" w:styleId="Quote">
    <w:name w:val="Quote"/>
    <w:basedOn w:val="BodyText"/>
    <w:next w:val="BodyText"/>
    <w:link w:val="QuoteChar"/>
    <w:uiPriority w:val="2"/>
    <w:qFormat/>
    <w:rsid w:val="0047070D"/>
    <w:pPr>
      <w:spacing w:after="280"/>
      <w:ind w:left="397" w:right="397"/>
    </w:pPr>
    <w:rPr>
      <w:rFonts w:ascii="Calibri" w:hAnsi="Calibri"/>
      <w:szCs w:val="21"/>
    </w:rPr>
  </w:style>
  <w:style w:type="character" w:customStyle="1" w:styleId="QuoteChar">
    <w:name w:val="Quote Char"/>
    <w:link w:val="Quote"/>
    <w:uiPriority w:val="2"/>
    <w:rsid w:val="0047070D"/>
    <w:rPr>
      <w:rFonts w:ascii="Calibri" w:hAnsi="Calibri"/>
      <w:szCs w:val="21"/>
    </w:rPr>
  </w:style>
  <w:style w:type="paragraph" w:styleId="TOCHeading">
    <w:name w:val="TOC Heading"/>
    <w:basedOn w:val="Heading1"/>
    <w:next w:val="Normal"/>
    <w:uiPriority w:val="39"/>
    <w:unhideWhenUsed/>
    <w:qFormat/>
    <w:rsid w:val="0047070D"/>
    <w:pPr>
      <w:tabs>
        <w:tab w:val="clear" w:pos="851"/>
      </w:tabs>
      <w:outlineLvl w:val="9"/>
    </w:pPr>
    <w:rPr>
      <w:szCs w:val="28"/>
    </w:rPr>
  </w:style>
  <w:style w:type="paragraph" w:customStyle="1" w:styleId="Box">
    <w:name w:val="Box"/>
    <w:basedOn w:val="Normal"/>
    <w:uiPriority w:val="1"/>
    <w:qFormat/>
    <w:rsid w:val="00763CC5"/>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heading0">
    <w:name w:val="Box heading"/>
    <w:basedOn w:val="Box"/>
    <w:next w:val="Box"/>
    <w:uiPriority w:val="1"/>
    <w:qFormat/>
    <w:rsid w:val="00763CC5"/>
    <w:pPr>
      <w:keepNext/>
      <w:spacing w:after="0"/>
    </w:pPr>
    <w:rPr>
      <w:b/>
    </w:rPr>
  </w:style>
  <w:style w:type="character" w:styleId="Hyperlink">
    <w:name w:val="Hyperlink"/>
    <w:uiPriority w:val="99"/>
    <w:qFormat/>
    <w:rsid w:val="00763CC5"/>
    <w:rPr>
      <w:color w:val="32809C"/>
      <w:u w:val="none"/>
    </w:rPr>
  </w:style>
  <w:style w:type="paragraph" w:styleId="TOC1">
    <w:name w:val="toc 1"/>
    <w:basedOn w:val="Normal"/>
    <w:next w:val="Normal"/>
    <w:autoRedefine/>
    <w:uiPriority w:val="39"/>
    <w:unhideWhenUsed/>
    <w:rsid w:val="0018549A"/>
    <w:pPr>
      <w:spacing w:after="100"/>
    </w:pPr>
  </w:style>
  <w:style w:type="paragraph" w:styleId="TOC2">
    <w:name w:val="toc 2"/>
    <w:basedOn w:val="Normal"/>
    <w:next w:val="Normal"/>
    <w:autoRedefine/>
    <w:uiPriority w:val="39"/>
    <w:unhideWhenUsed/>
    <w:rsid w:val="000655DA"/>
    <w:pPr>
      <w:tabs>
        <w:tab w:val="right" w:leader="dot" w:pos="9016"/>
      </w:tabs>
      <w:spacing w:after="100"/>
      <w:ind w:left="220" w:firstLine="206"/>
    </w:pPr>
  </w:style>
  <w:style w:type="paragraph" w:styleId="BalloonText">
    <w:name w:val="Balloon Text"/>
    <w:basedOn w:val="Normal"/>
    <w:link w:val="BalloonTextChar"/>
    <w:uiPriority w:val="99"/>
    <w:semiHidden/>
    <w:unhideWhenUsed/>
    <w:rsid w:val="001854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9A"/>
    <w:rPr>
      <w:rFonts w:ascii="Tahoma" w:eastAsiaTheme="minorEastAsia" w:hAnsi="Tahoma" w:cs="Tahoma"/>
      <w:sz w:val="16"/>
      <w:szCs w:val="16"/>
      <w:lang w:eastAsia="en-NZ"/>
    </w:rPr>
  </w:style>
  <w:style w:type="paragraph" w:styleId="TOC3">
    <w:name w:val="toc 3"/>
    <w:basedOn w:val="Normal"/>
    <w:next w:val="Normal"/>
    <w:autoRedefine/>
    <w:uiPriority w:val="39"/>
    <w:unhideWhenUsed/>
    <w:rsid w:val="000655DA"/>
    <w:pPr>
      <w:tabs>
        <w:tab w:val="right" w:leader="dot" w:pos="9016"/>
      </w:tabs>
      <w:spacing w:after="100"/>
      <w:ind w:left="567" w:firstLine="567"/>
    </w:pPr>
  </w:style>
  <w:style w:type="paragraph" w:styleId="Header">
    <w:name w:val="header"/>
    <w:basedOn w:val="Normal"/>
    <w:link w:val="HeaderChar"/>
    <w:unhideWhenUsed/>
    <w:rsid w:val="00996892"/>
    <w:pPr>
      <w:tabs>
        <w:tab w:val="center" w:pos="4513"/>
        <w:tab w:val="right" w:pos="9026"/>
      </w:tabs>
      <w:spacing w:before="0" w:after="0" w:line="240" w:lineRule="auto"/>
    </w:pPr>
  </w:style>
  <w:style w:type="character" w:customStyle="1" w:styleId="HeaderChar">
    <w:name w:val="Header Char"/>
    <w:basedOn w:val="DefaultParagraphFont"/>
    <w:link w:val="Header"/>
    <w:rsid w:val="00996892"/>
    <w:rPr>
      <w:rFonts w:ascii="Calibri" w:eastAsiaTheme="minorEastAsia" w:hAnsi="Calibri" w:cstheme="minorBidi"/>
      <w:lang w:eastAsia="en-NZ"/>
    </w:rPr>
  </w:style>
  <w:style w:type="paragraph" w:styleId="Footer">
    <w:name w:val="footer"/>
    <w:basedOn w:val="Normal"/>
    <w:link w:val="FooterChar"/>
    <w:uiPriority w:val="99"/>
    <w:unhideWhenUsed/>
    <w:rsid w:val="009968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96892"/>
    <w:rPr>
      <w:rFonts w:ascii="Calibri" w:eastAsiaTheme="minorEastAsia" w:hAnsi="Calibri" w:cstheme="minorBidi"/>
      <w:lang w:eastAsia="en-NZ"/>
    </w:rPr>
  </w:style>
  <w:style w:type="character" w:styleId="FootnoteReference">
    <w:name w:val="footnote reference"/>
    <w:basedOn w:val="DefaultParagraphFont"/>
    <w:uiPriority w:val="99"/>
    <w:semiHidden/>
    <w:unhideWhenUsed/>
    <w:rsid w:val="00623C73"/>
    <w:rPr>
      <w:vertAlign w:val="superscript"/>
    </w:rPr>
  </w:style>
  <w:style w:type="table" w:styleId="TableGrid">
    <w:name w:val="Table Grid"/>
    <w:basedOn w:val="TableNormal"/>
    <w:uiPriority w:val="59"/>
    <w:rsid w:val="00B1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Text bold"/>
    <w:basedOn w:val="TableText"/>
    <w:rsid w:val="00BD4025"/>
    <w:pPr>
      <w:spacing w:line="240" w:lineRule="atLeast"/>
      <w:jc w:val="left"/>
    </w:pPr>
    <w:rPr>
      <w:b/>
      <w:sz w:val="18"/>
    </w:rPr>
  </w:style>
  <w:style w:type="table" w:customStyle="1" w:styleId="TableGrid1">
    <w:name w:val="Table Grid1"/>
    <w:basedOn w:val="TableNormal"/>
    <w:uiPriority w:val="59"/>
    <w:rsid w:val="00BD4025"/>
    <w:pPr>
      <w:jc w:val="both"/>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760FC"/>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760FC"/>
    <w:rPr>
      <w:rFonts w:ascii="Calibri" w:eastAsiaTheme="minorEastAsia" w:hAnsi="Calibri" w:cstheme="minorBidi"/>
      <w:sz w:val="20"/>
      <w:szCs w:val="20"/>
      <w:lang w:eastAsia="en-NZ"/>
    </w:rPr>
  </w:style>
  <w:style w:type="character" w:styleId="EndnoteReference">
    <w:name w:val="endnote reference"/>
    <w:basedOn w:val="DefaultParagraphFont"/>
    <w:uiPriority w:val="99"/>
    <w:semiHidden/>
    <w:unhideWhenUsed/>
    <w:rsid w:val="009760FC"/>
    <w:rPr>
      <w:vertAlign w:val="superscript"/>
    </w:rPr>
  </w:style>
  <w:style w:type="paragraph" w:styleId="NormalWeb">
    <w:name w:val="Normal (Web)"/>
    <w:basedOn w:val="Normal"/>
    <w:uiPriority w:val="99"/>
    <w:semiHidden/>
    <w:unhideWhenUsed/>
    <w:rsid w:val="00287B97"/>
    <w:pPr>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D70D5"/>
    <w:rPr>
      <w:sz w:val="16"/>
      <w:szCs w:val="16"/>
    </w:rPr>
  </w:style>
  <w:style w:type="paragraph" w:styleId="CommentText">
    <w:name w:val="annotation text"/>
    <w:basedOn w:val="Normal"/>
    <w:link w:val="CommentTextChar"/>
    <w:uiPriority w:val="99"/>
    <w:unhideWhenUsed/>
    <w:rsid w:val="00FD70D5"/>
    <w:pPr>
      <w:spacing w:line="240" w:lineRule="auto"/>
    </w:pPr>
    <w:rPr>
      <w:sz w:val="20"/>
      <w:szCs w:val="20"/>
    </w:rPr>
  </w:style>
  <w:style w:type="character" w:customStyle="1" w:styleId="CommentTextChar">
    <w:name w:val="Comment Text Char"/>
    <w:basedOn w:val="DefaultParagraphFont"/>
    <w:link w:val="CommentText"/>
    <w:uiPriority w:val="99"/>
    <w:rsid w:val="00FD70D5"/>
    <w:rPr>
      <w:rFonts w:ascii="Calibri" w:eastAsiaTheme="minorEastAsia" w:hAnsi="Calibri" w:cstheme="minorBidi"/>
      <w:sz w:val="20"/>
      <w:szCs w:val="20"/>
      <w:lang w:eastAsia="en-NZ"/>
    </w:rPr>
  </w:style>
  <w:style w:type="paragraph" w:styleId="CommentSubject">
    <w:name w:val="annotation subject"/>
    <w:basedOn w:val="CommentText"/>
    <w:next w:val="CommentText"/>
    <w:link w:val="CommentSubjectChar"/>
    <w:uiPriority w:val="99"/>
    <w:semiHidden/>
    <w:unhideWhenUsed/>
    <w:rsid w:val="00FD70D5"/>
    <w:rPr>
      <w:b/>
      <w:bCs/>
    </w:rPr>
  </w:style>
  <w:style w:type="character" w:customStyle="1" w:styleId="CommentSubjectChar">
    <w:name w:val="Comment Subject Char"/>
    <w:basedOn w:val="CommentTextChar"/>
    <w:link w:val="CommentSubject"/>
    <w:uiPriority w:val="99"/>
    <w:semiHidden/>
    <w:rsid w:val="00FD70D5"/>
    <w:rPr>
      <w:rFonts w:ascii="Calibri" w:eastAsiaTheme="minorEastAsia" w:hAnsi="Calibri" w:cstheme="minorBidi"/>
      <w:b/>
      <w:bCs/>
      <w:sz w:val="20"/>
      <w:szCs w:val="20"/>
      <w:lang w:eastAsia="en-NZ"/>
    </w:rPr>
  </w:style>
  <w:style w:type="paragraph" w:styleId="Revision">
    <w:name w:val="Revision"/>
    <w:hidden/>
    <w:uiPriority w:val="99"/>
    <w:semiHidden/>
    <w:rsid w:val="00AE2288"/>
    <w:rPr>
      <w:rFonts w:ascii="Calibri" w:eastAsiaTheme="minorEastAsia" w:hAnsi="Calibri" w:cstheme="minorBidi"/>
      <w:lang w:eastAsia="en-NZ"/>
    </w:rPr>
  </w:style>
  <w:style w:type="paragraph" w:customStyle="1" w:styleId="Default">
    <w:name w:val="Default"/>
    <w:rsid w:val="005573B4"/>
    <w:pPr>
      <w:autoSpaceDE w:val="0"/>
      <w:autoSpaceDN w:val="0"/>
      <w:adjustRightInd w:val="0"/>
    </w:pPr>
    <w:rPr>
      <w:rFonts w:ascii="Times New Roman" w:hAnsi="Times New Roman"/>
      <w:color w:val="000000"/>
      <w:sz w:val="24"/>
      <w:szCs w:val="24"/>
    </w:rPr>
  </w:style>
  <w:style w:type="table" w:customStyle="1" w:styleId="GridTable4Accent1">
    <w:name w:val="Grid Table 4 Accent 1"/>
    <w:basedOn w:val="TableNormal"/>
    <w:uiPriority w:val="49"/>
    <w:rsid w:val="00F93B31"/>
    <w:rPr>
      <w:rFonts w:eastAsiaTheme="minorEastAsia" w:cstheme="minorBidi"/>
      <w:sz w:val="24"/>
      <w:szCs w:val="24"/>
      <w:lang w:val="en-US"/>
    </w:rPr>
    <w:tblPr>
      <w:tblStyleRowBandSize w:val="1"/>
      <w:tblStyleColBandSize w:val="1"/>
      <w:tblBorders>
        <w:top w:val="single" w:sz="4" w:space="0" w:color="2AFF7F" w:themeColor="accent1" w:themeTint="99"/>
        <w:left w:val="single" w:sz="4" w:space="0" w:color="2AFF7F" w:themeColor="accent1" w:themeTint="99"/>
        <w:bottom w:val="single" w:sz="4" w:space="0" w:color="2AFF7F" w:themeColor="accent1" w:themeTint="99"/>
        <w:right w:val="single" w:sz="4" w:space="0" w:color="2AFF7F" w:themeColor="accent1" w:themeTint="99"/>
        <w:insideH w:val="single" w:sz="4" w:space="0" w:color="2AFF7F" w:themeColor="accent1" w:themeTint="99"/>
        <w:insideV w:val="single" w:sz="4" w:space="0" w:color="2AFF7F" w:themeColor="accent1" w:themeTint="99"/>
      </w:tblBorders>
    </w:tblPr>
    <w:tblStylePr w:type="firstRow">
      <w:rPr>
        <w:b/>
        <w:bCs/>
        <w:color w:val="FFFFFF" w:themeColor="background1"/>
      </w:rPr>
      <w:tblPr/>
      <w:tcPr>
        <w:tcBorders>
          <w:top w:val="single" w:sz="4" w:space="0" w:color="009B3E" w:themeColor="accent1"/>
          <w:left w:val="single" w:sz="4" w:space="0" w:color="009B3E" w:themeColor="accent1"/>
          <w:bottom w:val="single" w:sz="4" w:space="0" w:color="009B3E" w:themeColor="accent1"/>
          <w:right w:val="single" w:sz="4" w:space="0" w:color="009B3E" w:themeColor="accent1"/>
          <w:insideH w:val="nil"/>
          <w:insideV w:val="nil"/>
        </w:tcBorders>
        <w:shd w:val="clear" w:color="auto" w:fill="009B3E" w:themeFill="accent1"/>
      </w:tcPr>
    </w:tblStylePr>
    <w:tblStylePr w:type="lastRow">
      <w:rPr>
        <w:b/>
        <w:bCs/>
      </w:rPr>
      <w:tblPr/>
      <w:tcPr>
        <w:tcBorders>
          <w:top w:val="double" w:sz="4" w:space="0" w:color="009B3E" w:themeColor="accent1"/>
        </w:tcBorders>
      </w:tcPr>
    </w:tblStylePr>
    <w:tblStylePr w:type="firstCol">
      <w:rPr>
        <w:b/>
        <w:bCs/>
      </w:rPr>
    </w:tblStylePr>
    <w:tblStylePr w:type="lastCol">
      <w:rPr>
        <w:b/>
        <w:bCs/>
      </w:rPr>
    </w:tblStylePr>
    <w:tblStylePr w:type="band1Vert">
      <w:tblPr/>
      <w:tcPr>
        <w:shd w:val="clear" w:color="auto" w:fill="B8FFD4" w:themeFill="accent1" w:themeFillTint="33"/>
      </w:tcPr>
    </w:tblStylePr>
    <w:tblStylePr w:type="band1Horz">
      <w:tblPr/>
      <w:tcPr>
        <w:shd w:val="clear" w:color="auto" w:fill="B8FFD4" w:themeFill="accent1" w:themeFillTint="33"/>
      </w:tcPr>
    </w:tblStylePr>
  </w:style>
  <w:style w:type="paragraph" w:customStyle="1" w:styleId="Heading">
    <w:name w:val="Heading"/>
    <w:basedOn w:val="Heading1"/>
    <w:next w:val="Normal"/>
    <w:uiPriority w:val="3"/>
    <w:rsid w:val="007401A0"/>
    <w:rPr>
      <w:rFonts w:ascii="Calibri" w:hAnsi="Calibri"/>
      <w:sz w:val="48"/>
      <w:szCs w:val="28"/>
    </w:rPr>
  </w:style>
  <w:style w:type="paragraph" w:customStyle="1" w:styleId="Sub-list">
    <w:name w:val="Sub-list"/>
    <w:basedOn w:val="Normal"/>
    <w:qFormat/>
    <w:rsid w:val="007401A0"/>
    <w:pPr>
      <w:numPr>
        <w:numId w:val="21"/>
      </w:numPr>
      <w:tabs>
        <w:tab w:val="clear" w:pos="397"/>
        <w:tab w:val="left" w:pos="794"/>
      </w:tabs>
      <w:spacing w:before="0"/>
      <w:ind w:left="794" w:hanging="397"/>
      <w:jc w:val="left"/>
    </w:pPr>
  </w:style>
  <w:style w:type="paragraph" w:customStyle="1" w:styleId="Imprint">
    <w:name w:val="Imprint"/>
    <w:basedOn w:val="Normal"/>
    <w:uiPriority w:val="3"/>
    <w:rsid w:val="007401A0"/>
    <w:pPr>
      <w:jc w:val="left"/>
    </w:pPr>
  </w:style>
  <w:style w:type="paragraph" w:customStyle="1" w:styleId="Sub-lista">
    <w:name w:val="Sub-list a"/>
    <w:aliases w:val="b"/>
    <w:basedOn w:val="Normal"/>
    <w:uiPriority w:val="2"/>
    <w:rsid w:val="007401A0"/>
    <w:pPr>
      <w:numPr>
        <w:numId w:val="22"/>
      </w:numPr>
      <w:spacing w:before="0"/>
      <w:ind w:left="794" w:hanging="397"/>
      <w:jc w:val="left"/>
    </w:pPr>
  </w:style>
  <w:style w:type="character" w:styleId="FollowedHyperlink">
    <w:name w:val="FollowedHyperlink"/>
    <w:basedOn w:val="DefaultParagraphFont"/>
    <w:uiPriority w:val="99"/>
    <w:semiHidden/>
    <w:unhideWhenUsed/>
    <w:rsid w:val="00452F37"/>
    <w:rPr>
      <w:color w:val="009B3E" w:themeColor="followedHyperlink"/>
      <w:u w:val="single"/>
    </w:rPr>
  </w:style>
  <w:style w:type="character" w:customStyle="1" w:styleId="BulletChar">
    <w:name w:val="Bullet Char"/>
    <w:basedOn w:val="DefaultParagraphFont"/>
    <w:link w:val="Bullet"/>
    <w:locked/>
    <w:rsid w:val="00413D25"/>
    <w:rPr>
      <w:rFonts w:ascii="Calibri" w:eastAsiaTheme="minorEastAsia" w:hAnsi="Calibri" w:cstheme="minorBidi"/>
      <w:lang w:eastAsia="en-NZ"/>
    </w:rPr>
  </w:style>
  <w:style w:type="paragraph" w:customStyle="1" w:styleId="Tableheading0">
    <w:name w:val="Table heading"/>
    <w:basedOn w:val="Normal"/>
    <w:next w:val="Normal"/>
    <w:qFormat/>
    <w:rsid w:val="00DD4142"/>
    <w:pPr>
      <w:keepNext/>
      <w:ind w:left="1134" w:hanging="1134"/>
      <w:jc w:val="left"/>
    </w:pPr>
    <w:rPr>
      <w:b/>
      <w:sz w:val="20"/>
    </w:rPr>
  </w:style>
  <w:style w:type="paragraph" w:customStyle="1" w:styleId="Footerodd">
    <w:name w:val="Footer odd"/>
    <w:basedOn w:val="Normal"/>
    <w:uiPriority w:val="1"/>
    <w:rsid w:val="000F4017"/>
    <w:pPr>
      <w:tabs>
        <w:tab w:val="right" w:pos="7938"/>
        <w:tab w:val="right" w:pos="8505"/>
      </w:tabs>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135">
      <w:bodyDiv w:val="1"/>
      <w:marLeft w:val="0"/>
      <w:marRight w:val="0"/>
      <w:marTop w:val="0"/>
      <w:marBottom w:val="0"/>
      <w:divBdr>
        <w:top w:val="none" w:sz="0" w:space="0" w:color="auto"/>
        <w:left w:val="none" w:sz="0" w:space="0" w:color="auto"/>
        <w:bottom w:val="none" w:sz="0" w:space="0" w:color="auto"/>
        <w:right w:val="none" w:sz="0" w:space="0" w:color="auto"/>
      </w:divBdr>
    </w:div>
    <w:div w:id="1305889437">
      <w:bodyDiv w:val="1"/>
      <w:marLeft w:val="0"/>
      <w:marRight w:val="0"/>
      <w:marTop w:val="0"/>
      <w:marBottom w:val="0"/>
      <w:divBdr>
        <w:top w:val="none" w:sz="0" w:space="0" w:color="auto"/>
        <w:left w:val="none" w:sz="0" w:space="0" w:color="auto"/>
        <w:bottom w:val="none" w:sz="0" w:space="0" w:color="auto"/>
        <w:right w:val="none" w:sz="0" w:space="0" w:color="auto"/>
      </w:divBdr>
    </w:div>
    <w:div w:id="1315182992">
      <w:bodyDiv w:val="1"/>
      <w:marLeft w:val="0"/>
      <w:marRight w:val="0"/>
      <w:marTop w:val="0"/>
      <w:marBottom w:val="0"/>
      <w:divBdr>
        <w:top w:val="none" w:sz="0" w:space="0" w:color="auto"/>
        <w:left w:val="none" w:sz="0" w:space="0" w:color="auto"/>
        <w:bottom w:val="none" w:sz="0" w:space="0" w:color="auto"/>
        <w:right w:val="none" w:sz="0" w:space="0" w:color="auto"/>
      </w:divBdr>
      <w:divsChild>
        <w:div w:id="708337586">
          <w:marLeft w:val="0"/>
          <w:marRight w:val="0"/>
          <w:marTop w:val="0"/>
          <w:marBottom w:val="0"/>
          <w:divBdr>
            <w:top w:val="none" w:sz="0" w:space="0" w:color="auto"/>
            <w:left w:val="none" w:sz="0" w:space="0" w:color="auto"/>
            <w:bottom w:val="none" w:sz="0" w:space="0" w:color="auto"/>
            <w:right w:val="none" w:sz="0" w:space="0" w:color="auto"/>
          </w:divBdr>
          <w:divsChild>
            <w:div w:id="402261540">
              <w:marLeft w:val="0"/>
              <w:marRight w:val="0"/>
              <w:marTop w:val="0"/>
              <w:marBottom w:val="0"/>
              <w:divBdr>
                <w:top w:val="none" w:sz="0" w:space="0" w:color="auto"/>
                <w:left w:val="none" w:sz="0" w:space="0" w:color="auto"/>
                <w:bottom w:val="none" w:sz="0" w:space="0" w:color="auto"/>
                <w:right w:val="none" w:sz="0" w:space="0" w:color="auto"/>
              </w:divBdr>
              <w:divsChild>
                <w:div w:id="1729495658">
                  <w:marLeft w:val="0"/>
                  <w:marRight w:val="0"/>
                  <w:marTop w:val="0"/>
                  <w:marBottom w:val="0"/>
                  <w:divBdr>
                    <w:top w:val="none" w:sz="0" w:space="0" w:color="auto"/>
                    <w:left w:val="none" w:sz="0" w:space="0" w:color="auto"/>
                    <w:bottom w:val="none" w:sz="0" w:space="0" w:color="auto"/>
                    <w:right w:val="none" w:sz="0" w:space="0" w:color="auto"/>
                  </w:divBdr>
                  <w:divsChild>
                    <w:div w:id="1269970710">
                      <w:marLeft w:val="150"/>
                      <w:marRight w:val="150"/>
                      <w:marTop w:val="0"/>
                      <w:marBottom w:val="0"/>
                      <w:divBdr>
                        <w:top w:val="none" w:sz="0" w:space="0" w:color="auto"/>
                        <w:left w:val="none" w:sz="0" w:space="0" w:color="auto"/>
                        <w:bottom w:val="none" w:sz="0" w:space="0" w:color="auto"/>
                        <w:right w:val="none" w:sz="0" w:space="0" w:color="auto"/>
                      </w:divBdr>
                      <w:divsChild>
                        <w:div w:id="1844591822">
                          <w:marLeft w:val="0"/>
                          <w:marRight w:val="0"/>
                          <w:marTop w:val="0"/>
                          <w:marBottom w:val="0"/>
                          <w:divBdr>
                            <w:top w:val="none" w:sz="0" w:space="0" w:color="auto"/>
                            <w:left w:val="none" w:sz="0" w:space="0" w:color="auto"/>
                            <w:bottom w:val="none" w:sz="0" w:space="0" w:color="auto"/>
                            <w:right w:val="none" w:sz="0" w:space="0" w:color="auto"/>
                          </w:divBdr>
                          <w:divsChild>
                            <w:div w:id="1981373953">
                              <w:marLeft w:val="0"/>
                              <w:marRight w:val="0"/>
                              <w:marTop w:val="0"/>
                              <w:marBottom w:val="0"/>
                              <w:divBdr>
                                <w:top w:val="none" w:sz="0" w:space="0" w:color="auto"/>
                                <w:left w:val="none" w:sz="0" w:space="0" w:color="auto"/>
                                <w:bottom w:val="none" w:sz="0" w:space="0" w:color="auto"/>
                                <w:right w:val="none" w:sz="0" w:space="0" w:color="auto"/>
                              </w:divBdr>
                              <w:divsChild>
                                <w:div w:id="345208243">
                                  <w:marLeft w:val="0"/>
                                  <w:marRight w:val="0"/>
                                  <w:marTop w:val="0"/>
                                  <w:marBottom w:val="0"/>
                                  <w:divBdr>
                                    <w:top w:val="none" w:sz="0" w:space="0" w:color="auto"/>
                                    <w:left w:val="none" w:sz="0" w:space="0" w:color="auto"/>
                                    <w:bottom w:val="none" w:sz="0" w:space="0" w:color="auto"/>
                                    <w:right w:val="none" w:sz="0" w:space="0" w:color="auto"/>
                                  </w:divBdr>
                                  <w:divsChild>
                                    <w:div w:id="197623117">
                                      <w:marLeft w:val="0"/>
                                      <w:marRight w:val="0"/>
                                      <w:marTop w:val="0"/>
                                      <w:marBottom w:val="0"/>
                                      <w:divBdr>
                                        <w:top w:val="none" w:sz="0" w:space="0" w:color="auto"/>
                                        <w:left w:val="none" w:sz="0" w:space="0" w:color="auto"/>
                                        <w:bottom w:val="none" w:sz="0" w:space="0" w:color="auto"/>
                                        <w:right w:val="none" w:sz="0" w:space="0" w:color="auto"/>
                                      </w:divBdr>
                                      <w:divsChild>
                                        <w:div w:id="5524642">
                                          <w:marLeft w:val="0"/>
                                          <w:marRight w:val="0"/>
                                          <w:marTop w:val="0"/>
                                          <w:marBottom w:val="0"/>
                                          <w:divBdr>
                                            <w:top w:val="none" w:sz="0" w:space="0" w:color="auto"/>
                                            <w:left w:val="none" w:sz="0" w:space="0" w:color="auto"/>
                                            <w:bottom w:val="none" w:sz="0" w:space="0" w:color="auto"/>
                                            <w:right w:val="none" w:sz="0" w:space="0" w:color="auto"/>
                                          </w:divBdr>
                                          <w:divsChild>
                                            <w:div w:id="1596329798">
                                              <w:marLeft w:val="0"/>
                                              <w:marRight w:val="0"/>
                                              <w:marTop w:val="0"/>
                                              <w:marBottom w:val="0"/>
                                              <w:divBdr>
                                                <w:top w:val="none" w:sz="0" w:space="0" w:color="auto"/>
                                                <w:left w:val="none" w:sz="0" w:space="0" w:color="auto"/>
                                                <w:bottom w:val="none" w:sz="0" w:space="0" w:color="auto"/>
                                                <w:right w:val="none" w:sz="0" w:space="0" w:color="auto"/>
                                              </w:divBdr>
                                              <w:divsChild>
                                                <w:div w:id="1232036743">
                                                  <w:marLeft w:val="0"/>
                                                  <w:marRight w:val="0"/>
                                                  <w:marTop w:val="0"/>
                                                  <w:marBottom w:val="0"/>
                                                  <w:divBdr>
                                                    <w:top w:val="none" w:sz="0" w:space="0" w:color="auto"/>
                                                    <w:left w:val="none" w:sz="0" w:space="0" w:color="auto"/>
                                                    <w:bottom w:val="none" w:sz="0" w:space="0" w:color="auto"/>
                                                    <w:right w:val="none" w:sz="0" w:space="0" w:color="auto"/>
                                                  </w:divBdr>
                                                  <w:divsChild>
                                                    <w:div w:id="71512446">
                                                      <w:marLeft w:val="0"/>
                                                      <w:marRight w:val="0"/>
                                                      <w:marTop w:val="0"/>
                                                      <w:marBottom w:val="0"/>
                                                      <w:divBdr>
                                                        <w:top w:val="none" w:sz="0" w:space="0" w:color="auto"/>
                                                        <w:left w:val="none" w:sz="0" w:space="0" w:color="auto"/>
                                                        <w:bottom w:val="none" w:sz="0" w:space="0" w:color="auto"/>
                                                        <w:right w:val="none" w:sz="0" w:space="0" w:color="auto"/>
                                                      </w:divBdr>
                                                      <w:divsChild>
                                                        <w:div w:id="15545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1896676">
      <w:bodyDiv w:val="1"/>
      <w:marLeft w:val="0"/>
      <w:marRight w:val="0"/>
      <w:marTop w:val="0"/>
      <w:marBottom w:val="0"/>
      <w:divBdr>
        <w:top w:val="none" w:sz="0" w:space="0" w:color="auto"/>
        <w:left w:val="none" w:sz="0" w:space="0" w:color="auto"/>
        <w:bottom w:val="none" w:sz="0" w:space="0" w:color="auto"/>
        <w:right w:val="none" w:sz="0" w:space="0" w:color="auto"/>
      </w:divBdr>
    </w:div>
    <w:div w:id="1878621894">
      <w:bodyDiv w:val="1"/>
      <w:marLeft w:val="0"/>
      <w:marRight w:val="0"/>
      <w:marTop w:val="0"/>
      <w:marBottom w:val="0"/>
      <w:divBdr>
        <w:top w:val="none" w:sz="0" w:space="0" w:color="auto"/>
        <w:left w:val="none" w:sz="0" w:space="0" w:color="auto"/>
        <w:bottom w:val="none" w:sz="0" w:space="0" w:color="auto"/>
        <w:right w:val="none" w:sz="0" w:space="0" w:color="auto"/>
      </w:divBdr>
      <w:divsChild>
        <w:div w:id="737215613">
          <w:marLeft w:val="446"/>
          <w:marRight w:val="0"/>
          <w:marTop w:val="0"/>
          <w:marBottom w:val="0"/>
          <w:divBdr>
            <w:top w:val="none" w:sz="0" w:space="0" w:color="auto"/>
            <w:left w:val="none" w:sz="0" w:space="0" w:color="auto"/>
            <w:bottom w:val="none" w:sz="0" w:space="0" w:color="auto"/>
            <w:right w:val="none" w:sz="0" w:space="0" w:color="auto"/>
          </w:divBdr>
        </w:div>
        <w:div w:id="1756978372">
          <w:marLeft w:val="446"/>
          <w:marRight w:val="0"/>
          <w:marTop w:val="0"/>
          <w:marBottom w:val="0"/>
          <w:divBdr>
            <w:top w:val="none" w:sz="0" w:space="0" w:color="auto"/>
            <w:left w:val="none" w:sz="0" w:space="0" w:color="auto"/>
            <w:bottom w:val="none" w:sz="0" w:space="0" w:color="auto"/>
            <w:right w:val="none" w:sz="0" w:space="0" w:color="auto"/>
          </w:divBdr>
        </w:div>
        <w:div w:id="1412896764">
          <w:marLeft w:val="446"/>
          <w:marRight w:val="0"/>
          <w:marTop w:val="0"/>
          <w:marBottom w:val="0"/>
          <w:divBdr>
            <w:top w:val="none" w:sz="0" w:space="0" w:color="auto"/>
            <w:left w:val="none" w:sz="0" w:space="0" w:color="auto"/>
            <w:bottom w:val="none" w:sz="0" w:space="0" w:color="auto"/>
            <w:right w:val="none" w:sz="0" w:space="0" w:color="auto"/>
          </w:divBdr>
        </w:div>
        <w:div w:id="1853493627">
          <w:marLeft w:val="1166"/>
          <w:marRight w:val="0"/>
          <w:marTop w:val="0"/>
          <w:marBottom w:val="0"/>
          <w:divBdr>
            <w:top w:val="none" w:sz="0" w:space="0" w:color="auto"/>
            <w:left w:val="none" w:sz="0" w:space="0" w:color="auto"/>
            <w:bottom w:val="none" w:sz="0" w:space="0" w:color="auto"/>
            <w:right w:val="none" w:sz="0" w:space="0" w:color="auto"/>
          </w:divBdr>
        </w:div>
        <w:div w:id="419911077">
          <w:marLeft w:val="1166"/>
          <w:marRight w:val="0"/>
          <w:marTop w:val="0"/>
          <w:marBottom w:val="0"/>
          <w:divBdr>
            <w:top w:val="none" w:sz="0" w:space="0" w:color="auto"/>
            <w:left w:val="none" w:sz="0" w:space="0" w:color="auto"/>
            <w:bottom w:val="none" w:sz="0" w:space="0" w:color="auto"/>
            <w:right w:val="none" w:sz="0" w:space="0" w:color="auto"/>
          </w:divBdr>
        </w:div>
        <w:div w:id="2010207688">
          <w:marLeft w:val="1166"/>
          <w:marRight w:val="0"/>
          <w:marTop w:val="0"/>
          <w:marBottom w:val="0"/>
          <w:divBdr>
            <w:top w:val="none" w:sz="0" w:space="0" w:color="auto"/>
            <w:left w:val="none" w:sz="0" w:space="0" w:color="auto"/>
            <w:bottom w:val="none" w:sz="0" w:space="0" w:color="auto"/>
            <w:right w:val="none" w:sz="0" w:space="0" w:color="auto"/>
          </w:divBdr>
        </w:div>
        <w:div w:id="1862939797">
          <w:marLeft w:val="1166"/>
          <w:marRight w:val="0"/>
          <w:marTop w:val="0"/>
          <w:marBottom w:val="0"/>
          <w:divBdr>
            <w:top w:val="none" w:sz="0" w:space="0" w:color="auto"/>
            <w:left w:val="none" w:sz="0" w:space="0" w:color="auto"/>
            <w:bottom w:val="none" w:sz="0" w:space="0" w:color="auto"/>
            <w:right w:val="none" w:sz="0" w:space="0" w:color="auto"/>
          </w:divBdr>
        </w:div>
        <w:div w:id="1057120001">
          <w:marLeft w:val="446"/>
          <w:marRight w:val="0"/>
          <w:marTop w:val="0"/>
          <w:marBottom w:val="0"/>
          <w:divBdr>
            <w:top w:val="none" w:sz="0" w:space="0" w:color="auto"/>
            <w:left w:val="none" w:sz="0" w:space="0" w:color="auto"/>
            <w:bottom w:val="none" w:sz="0" w:space="0" w:color="auto"/>
            <w:right w:val="none" w:sz="0" w:space="0" w:color="auto"/>
          </w:divBdr>
        </w:div>
        <w:div w:id="1616904393">
          <w:marLeft w:val="446"/>
          <w:marRight w:val="0"/>
          <w:marTop w:val="0"/>
          <w:marBottom w:val="0"/>
          <w:divBdr>
            <w:top w:val="none" w:sz="0" w:space="0" w:color="auto"/>
            <w:left w:val="none" w:sz="0" w:space="0" w:color="auto"/>
            <w:bottom w:val="none" w:sz="0" w:space="0" w:color="auto"/>
            <w:right w:val="none" w:sz="0" w:space="0" w:color="auto"/>
          </w:divBdr>
        </w:div>
        <w:div w:id="131020432">
          <w:marLeft w:val="446"/>
          <w:marRight w:val="0"/>
          <w:marTop w:val="0"/>
          <w:marBottom w:val="0"/>
          <w:divBdr>
            <w:top w:val="none" w:sz="0" w:space="0" w:color="auto"/>
            <w:left w:val="none" w:sz="0" w:space="0" w:color="auto"/>
            <w:bottom w:val="none" w:sz="0" w:space="0" w:color="auto"/>
            <w:right w:val="none" w:sz="0" w:space="0" w:color="auto"/>
          </w:divBdr>
        </w:div>
        <w:div w:id="1092973692">
          <w:marLeft w:val="446"/>
          <w:marRight w:val="0"/>
          <w:marTop w:val="0"/>
          <w:marBottom w:val="0"/>
          <w:divBdr>
            <w:top w:val="none" w:sz="0" w:space="0" w:color="auto"/>
            <w:left w:val="none" w:sz="0" w:space="0" w:color="auto"/>
            <w:bottom w:val="none" w:sz="0" w:space="0" w:color="auto"/>
            <w:right w:val="none" w:sz="0" w:space="0" w:color="auto"/>
          </w:divBdr>
        </w:div>
      </w:divsChild>
    </w:div>
    <w:div w:id="193023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fe.govt.nz/publications/fresh-water/microbiological-water-quality-guidelines-marine-and-freshwater-0" TargetMode="External"/><Relationship Id="rId26" Type="http://schemas.openxmlformats.org/officeDocument/2006/relationships/hyperlink" Target="http://eur-lex.europa.eu/legal-content/EN/TXT/HTML/?uri=CELEX:32006L0007&amp;from=EN" TargetMode="External"/><Relationship Id="rId3" Type="http://schemas.openxmlformats.org/officeDocument/2006/relationships/styles" Target="styles.xml"/><Relationship Id="rId21" Type="http://schemas.openxmlformats.org/officeDocument/2006/relationships/hyperlink" Target="http://www.mfe.govt.nz/publications/fresh-water/strategic-assessment-of-new-zealand%E2%80%99s-freshwaters-recreational-use-huma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mfe.govt.nz/publications/fresh-water/clean-water-90-of-rivers-and-lakes-swimmable-2040"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fe.govt.nz/publications/fresh-water/clean-water-90-of-rivers-and-lakes-swimmable-204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e.govt.nz" TargetMode="External"/><Relationship Id="rId24" Type="http://schemas.openxmlformats.org/officeDocument/2006/relationships/image" Target="media/image5.png"/><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watersafety.org.nz/resources-and-safety-tips/safety-info-tips/rivers/"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mfe.govt.nz/fresh-water/national-policy-statement/about-nps"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header" Target="head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niwa.co.nz/" TargetMode="External"/><Relationship Id="rId1" Type="http://schemas.openxmlformats.org/officeDocument/2006/relationships/hyperlink" Target="https://github.com/jmarshallnz/nzwater/blob/master/README.m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FE Fresh Water Report">
      <a:dk1>
        <a:sysClr val="windowText" lastClr="000000"/>
      </a:dk1>
      <a:lt1>
        <a:sysClr val="window" lastClr="FFFFFF"/>
      </a:lt1>
      <a:dk2>
        <a:srgbClr val="00242F"/>
      </a:dk2>
      <a:lt2>
        <a:srgbClr val="EEECE1"/>
      </a:lt2>
      <a:accent1>
        <a:srgbClr val="009B3E"/>
      </a:accent1>
      <a:accent2>
        <a:srgbClr val="BAE0E1"/>
      </a:accent2>
      <a:accent3>
        <a:srgbClr val="E6E9EA"/>
      </a:accent3>
      <a:accent4>
        <a:srgbClr val="00242F"/>
      </a:accent4>
      <a:accent5>
        <a:srgbClr val="BAE0E1"/>
      </a:accent5>
      <a:accent6>
        <a:srgbClr val="E6E9EA"/>
      </a:accent6>
      <a:hlink>
        <a:srgbClr val="009B3E"/>
      </a:hlink>
      <a:folHlink>
        <a:srgbClr val="009B3E"/>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C2BC1-FAD2-41E2-BDCC-AFE6ECBF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5720</Words>
  <Characters>32609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38253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McCauley</dc:creator>
  <cp:lastModifiedBy>Nick Stocker</cp:lastModifiedBy>
  <cp:revision>2</cp:revision>
  <cp:lastPrinted>2017-05-10T04:10:00Z</cp:lastPrinted>
  <dcterms:created xsi:type="dcterms:W3CDTF">2017-05-10T22:47:00Z</dcterms:created>
  <dcterms:modified xsi:type="dcterms:W3CDTF">2017-05-10T22:47:00Z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1503443825</vt:i4>
  </property>
  <property fmtid="{D5CDD505-2E9C-101B-9397-08002B2CF9AE}" pid="3" name="_NewReviewCycle">
    <vt:lpwstr/>
  </property>
  <property fmtid="{D5CDD505-2E9C-101B-9397-08002B2CF9AE}" pid="4" name="_EmailSubject">
    <vt:lpwstr>Draft MfE Swimming categories for E.coli in the Clean Water package. </vt:lpwstr>
  </property>
  <property fmtid="{D5CDD505-2E9C-101B-9397-08002B2CF9AE}" pid="5" name="_AuthorEmail">
    <vt:lpwstr>Sheree.DeMalmanche@mfe.govt.nz</vt:lpwstr>
  </property>
  <property fmtid="{D5CDD505-2E9C-101B-9397-08002B2CF9AE}" pid="6" name="_AuthorEmailDisplayName">
    <vt:lpwstr>Sheree De Malmanche</vt:lpwstr>
  </property>
  <property fmtid="{D5CDD505-2E9C-101B-9397-08002B2CF9AE}" pid="7" name="_ReviewingToolsShownOnce">
    <vt:lpwstr/>
  </property>
</Properties>
</file>