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A021B" w14:textId="00405FDA" w:rsidR="0003640E" w:rsidRPr="006B77BB" w:rsidRDefault="0056237C" w:rsidP="0003640E">
      <w:pPr>
        <w:pStyle w:val="BodyText"/>
      </w:pPr>
      <w:r>
        <w:rPr>
          <w:noProof/>
        </w:rPr>
        <w:drawing>
          <wp:anchor distT="0" distB="0" distL="114300" distR="114300" simplePos="0" relativeHeight="251735040" behindDoc="0" locked="0" layoutInCell="1" allowOverlap="1" wp14:anchorId="51C1290E" wp14:editId="74BDBD9D">
            <wp:simplePos x="0" y="0"/>
            <wp:positionH relativeFrom="margin">
              <wp:posOffset>-900430</wp:posOffset>
            </wp:positionH>
            <wp:positionV relativeFrom="margin">
              <wp:posOffset>-3590925</wp:posOffset>
            </wp:positionV>
            <wp:extent cx="7534275" cy="10646410"/>
            <wp:effectExtent l="0" t="0" r="9525" b="254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FAS cover revised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4275" cy="10646410"/>
                    </a:xfrm>
                    <a:prstGeom prst="rect">
                      <a:avLst/>
                    </a:prstGeom>
                  </pic:spPr>
                </pic:pic>
              </a:graphicData>
            </a:graphic>
            <wp14:sizeRelH relativeFrom="margin">
              <wp14:pctWidth>0</wp14:pctWidth>
            </wp14:sizeRelH>
            <wp14:sizeRelV relativeFrom="margin">
              <wp14:pctHeight>0</wp14:pctHeight>
            </wp14:sizeRelV>
          </wp:anchor>
        </w:drawing>
      </w:r>
    </w:p>
    <w:p w14:paraId="2DDFC02B" w14:textId="77777777" w:rsidR="0003640E" w:rsidRPr="006B77BB" w:rsidRDefault="0003640E" w:rsidP="0080531E">
      <w:pPr>
        <w:jc w:val="left"/>
        <w:rPr>
          <w:color w:val="FF0000"/>
        </w:rPr>
        <w:sectPr w:rsidR="0003640E" w:rsidRPr="006B77BB" w:rsidSect="0036151C">
          <w:headerReference w:type="default" r:id="rId9"/>
          <w:footerReference w:type="default" r:id="rId10"/>
          <w:pgSz w:w="11907" w:h="16840" w:code="9"/>
          <w:pgMar w:top="5670" w:right="1418" w:bottom="1701" w:left="1418" w:header="567" w:footer="1134" w:gutter="0"/>
          <w:cols w:space="720"/>
        </w:sectPr>
      </w:pPr>
    </w:p>
    <w:p w14:paraId="443468CE" w14:textId="77777777" w:rsidR="00452EC4" w:rsidRPr="006B77BB" w:rsidRDefault="00452EC4" w:rsidP="00452EC4">
      <w:pPr>
        <w:pStyle w:val="Imprint"/>
      </w:pPr>
      <w:bookmarkStart w:id="0" w:name="_GoBack"/>
      <w:bookmarkEnd w:id="0"/>
      <w:r w:rsidRPr="006B77BB">
        <w:lastRenderedPageBreak/>
        <w:t xml:space="preserve">This </w:t>
      </w:r>
      <w:r w:rsidR="00775F57" w:rsidRPr="006B77BB">
        <w:t>document</w:t>
      </w:r>
      <w:r w:rsidRPr="006B77BB">
        <w:t xml:space="preserve"> may be cited as:</w:t>
      </w:r>
      <w:r w:rsidR="00775F57" w:rsidRPr="006B77BB">
        <w:t xml:space="preserve"> Ministry for the Environment. </w:t>
      </w:r>
      <w:r w:rsidR="00CA6ABD">
        <w:t>2019</w:t>
      </w:r>
      <w:r w:rsidR="00775F57" w:rsidRPr="006B77BB">
        <w:t xml:space="preserve">. </w:t>
      </w:r>
      <w:r w:rsidR="00CA6ABD" w:rsidRPr="00CA6ABD">
        <w:rPr>
          <w:i/>
        </w:rPr>
        <w:t>PFAS investigation, response and funding guidance</w:t>
      </w:r>
      <w:r w:rsidR="00775F57" w:rsidRPr="006B77BB">
        <w:t>. Wellington: Ministry for the Environment.</w:t>
      </w:r>
    </w:p>
    <w:p w14:paraId="29A57D02" w14:textId="77777777" w:rsidR="0080531E" w:rsidRPr="006B77BB" w:rsidRDefault="0080531E" w:rsidP="0080531E">
      <w:pPr>
        <w:pStyle w:val="Imprint"/>
      </w:pPr>
    </w:p>
    <w:p w14:paraId="4CB97BDC" w14:textId="7B27F821" w:rsidR="0080531E" w:rsidRDefault="0080531E" w:rsidP="0080531E">
      <w:pPr>
        <w:pStyle w:val="Imprint"/>
      </w:pPr>
    </w:p>
    <w:p w14:paraId="4766F702" w14:textId="77777777" w:rsidR="00A86EA4" w:rsidRPr="006B77BB" w:rsidRDefault="00A86EA4" w:rsidP="0080531E">
      <w:pPr>
        <w:pStyle w:val="Imprint"/>
      </w:pPr>
    </w:p>
    <w:p w14:paraId="02D1815D" w14:textId="77777777" w:rsidR="0080531E" w:rsidRPr="006B77BB" w:rsidRDefault="0080531E" w:rsidP="0080531E">
      <w:pPr>
        <w:pStyle w:val="Imprint"/>
      </w:pPr>
    </w:p>
    <w:p w14:paraId="3A5C897A" w14:textId="77777777" w:rsidR="0080531E" w:rsidRPr="006B77BB" w:rsidRDefault="0080531E" w:rsidP="0080531E">
      <w:pPr>
        <w:pStyle w:val="Imprint"/>
      </w:pPr>
    </w:p>
    <w:p w14:paraId="0B12EC1C" w14:textId="5C728A4E" w:rsidR="0080531E" w:rsidRDefault="0080531E" w:rsidP="0080531E">
      <w:pPr>
        <w:pStyle w:val="Imprint"/>
      </w:pPr>
    </w:p>
    <w:p w14:paraId="3130C8B9" w14:textId="0EC03030" w:rsidR="006C0960" w:rsidRDefault="006C0960" w:rsidP="0080531E">
      <w:pPr>
        <w:pStyle w:val="Imprint"/>
      </w:pPr>
    </w:p>
    <w:p w14:paraId="7E055702" w14:textId="77777777" w:rsidR="0067743D" w:rsidRPr="006B77BB" w:rsidRDefault="0067743D" w:rsidP="0080531E">
      <w:pPr>
        <w:pStyle w:val="Imprint"/>
      </w:pPr>
    </w:p>
    <w:p w14:paraId="6FF8B008" w14:textId="77777777" w:rsidR="0080531E" w:rsidRPr="006B77BB" w:rsidRDefault="0080531E" w:rsidP="0080531E">
      <w:pPr>
        <w:pStyle w:val="Imprint"/>
      </w:pPr>
    </w:p>
    <w:p w14:paraId="6B79DDD8" w14:textId="7AADFF78" w:rsidR="006C0960" w:rsidRPr="006B77BB" w:rsidRDefault="006C0960" w:rsidP="0080531E">
      <w:pPr>
        <w:pStyle w:val="Imprint"/>
      </w:pPr>
    </w:p>
    <w:p w14:paraId="5D0C715E" w14:textId="77777777" w:rsidR="0080531E" w:rsidRDefault="0080531E" w:rsidP="0080531E">
      <w:pPr>
        <w:pStyle w:val="Imprint"/>
      </w:pPr>
    </w:p>
    <w:p w14:paraId="4165FA84" w14:textId="77777777" w:rsidR="00663783" w:rsidRPr="006B77BB" w:rsidRDefault="00663783" w:rsidP="0080531E">
      <w:pPr>
        <w:pStyle w:val="Imprint"/>
      </w:pPr>
    </w:p>
    <w:p w14:paraId="00486BDB" w14:textId="26267686" w:rsidR="00760C00" w:rsidRDefault="00760C00" w:rsidP="0080531E">
      <w:pPr>
        <w:pStyle w:val="Imprint"/>
      </w:pPr>
    </w:p>
    <w:p w14:paraId="742C742C" w14:textId="4439196D" w:rsidR="006C0960" w:rsidRPr="006B77BB" w:rsidRDefault="006C0960" w:rsidP="0080531E">
      <w:pPr>
        <w:pStyle w:val="Imprint"/>
      </w:pPr>
    </w:p>
    <w:p w14:paraId="755E5220" w14:textId="6C152B13" w:rsidR="0080531E" w:rsidRPr="006B77BB" w:rsidRDefault="0080531E" w:rsidP="0080531E">
      <w:pPr>
        <w:pStyle w:val="Imprint"/>
      </w:pPr>
      <w:r w:rsidRPr="006B77BB">
        <w:t xml:space="preserve">Published in </w:t>
      </w:r>
      <w:r w:rsidR="006C0960">
        <w:t>April</w:t>
      </w:r>
      <w:r w:rsidR="00775F57" w:rsidRPr="00663783">
        <w:t xml:space="preserve"> </w:t>
      </w:r>
      <w:r w:rsidR="00CA6ABD">
        <w:t>2019</w:t>
      </w:r>
      <w:r w:rsidRPr="006B77BB">
        <w:t xml:space="preserve"> by the</w:t>
      </w:r>
      <w:r w:rsidRPr="006B77BB">
        <w:br/>
        <w:t xml:space="preserve">Ministry for the Environment </w:t>
      </w:r>
      <w:r w:rsidRPr="006B77BB">
        <w:br/>
        <w:t>Manatū Mō Te Taiao</w:t>
      </w:r>
      <w:r w:rsidRPr="006B77BB">
        <w:br/>
        <w:t>PO Box 10362, Wellington 6143, New Zealand</w:t>
      </w:r>
    </w:p>
    <w:p w14:paraId="08C5EF89" w14:textId="5968DD7E" w:rsidR="0080531E" w:rsidRPr="006B77BB" w:rsidRDefault="0080531E" w:rsidP="006C0960">
      <w:pPr>
        <w:pStyle w:val="Imprint"/>
      </w:pPr>
      <w:r w:rsidRPr="006B77BB">
        <w:t xml:space="preserve">ISBN: </w:t>
      </w:r>
      <w:r w:rsidRPr="006B77BB">
        <w:tab/>
      </w:r>
      <w:r w:rsidR="006C0960">
        <w:t>978-1-98-857925-2</w:t>
      </w:r>
      <w:r w:rsidR="006C0960">
        <w:br/>
      </w:r>
      <w:r w:rsidRPr="006B77BB">
        <w:t xml:space="preserve">Publication number: </w:t>
      </w:r>
      <w:r w:rsidRPr="006C0960">
        <w:t xml:space="preserve">ME </w:t>
      </w:r>
      <w:r w:rsidR="006C0960">
        <w:t>1421</w:t>
      </w:r>
    </w:p>
    <w:p w14:paraId="2C831E5B" w14:textId="77777777" w:rsidR="0080531E" w:rsidRPr="006B77BB" w:rsidRDefault="0080531E" w:rsidP="00593E94">
      <w:pPr>
        <w:pStyle w:val="Imprint"/>
        <w:spacing w:after="80"/>
      </w:pPr>
      <w:r w:rsidRPr="006B77BB">
        <w:t xml:space="preserve">© Crown copyright New Zealand </w:t>
      </w:r>
      <w:r w:rsidR="00CA6ABD">
        <w:t>2019</w:t>
      </w:r>
    </w:p>
    <w:p w14:paraId="3D305CC1" w14:textId="77777777" w:rsidR="00C04705" w:rsidRDefault="0080531E" w:rsidP="00593E94">
      <w:pPr>
        <w:pStyle w:val="Imprint"/>
        <w:spacing w:before="240" w:after="0"/>
        <w:rPr>
          <w:rStyle w:val="Hyperlink"/>
          <w:color w:val="auto"/>
        </w:rPr>
      </w:pPr>
      <w:r w:rsidRPr="006B77BB">
        <w:t>This document is available on the Ministry for</w:t>
      </w:r>
      <w:r w:rsidR="004C4E8A" w:rsidRPr="006B77BB">
        <w:t xml:space="preserve"> the Environment </w:t>
      </w:r>
      <w:r w:rsidR="00CB557F" w:rsidRPr="006B77BB">
        <w:t>website</w:t>
      </w:r>
      <w:r w:rsidRPr="006B77BB">
        <w:t xml:space="preserve">: </w:t>
      </w:r>
      <w:hyperlink r:id="rId11" w:history="1">
        <w:r w:rsidRPr="006B77BB">
          <w:rPr>
            <w:rStyle w:val="Hyperlink"/>
          </w:rPr>
          <w:t>www.mfe.govt.nz</w:t>
        </w:r>
      </w:hyperlink>
      <w:r w:rsidR="00B51610" w:rsidRPr="006B77BB">
        <w:rPr>
          <w:rStyle w:val="Hyperlink"/>
          <w:color w:val="auto"/>
        </w:rPr>
        <w:t>.</w:t>
      </w:r>
    </w:p>
    <w:p w14:paraId="03632DD6" w14:textId="77777777" w:rsidR="00A84FE1" w:rsidRDefault="00A84FE1" w:rsidP="00A84FE1">
      <w:pPr>
        <w:pStyle w:val="Imprint"/>
        <w:spacing w:before="240" w:after="0"/>
      </w:pPr>
      <w:r>
        <w:rPr>
          <w:noProof/>
        </w:rPr>
        <w:drawing>
          <wp:inline distT="0" distB="0" distL="0" distR="0" wp14:anchorId="7F09E5E6" wp14:editId="39C59D85">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0EE2166E" w14:textId="77777777" w:rsidR="0080531E" w:rsidRPr="00A84FE1" w:rsidRDefault="0080531E" w:rsidP="00A84FE1">
      <w:pPr>
        <w:sectPr w:rsidR="0080531E" w:rsidRPr="00A84FE1"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12832978" w14:textId="77777777" w:rsidR="0080531E" w:rsidRPr="006B77BB" w:rsidRDefault="0080531E" w:rsidP="008B68EC">
      <w:pPr>
        <w:pStyle w:val="Heading"/>
      </w:pPr>
      <w:r w:rsidRPr="006B77BB">
        <w:lastRenderedPageBreak/>
        <w:t>Contents</w:t>
      </w:r>
    </w:p>
    <w:p w14:paraId="07453745" w14:textId="62C1B53C" w:rsidR="006D48A9"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7533394" w:history="1">
        <w:r w:rsidR="006D48A9" w:rsidRPr="00C91916">
          <w:rPr>
            <w:rStyle w:val="Hyperlink"/>
            <w:noProof/>
          </w:rPr>
          <w:t>Introduction</w:t>
        </w:r>
        <w:r w:rsidR="006D48A9">
          <w:rPr>
            <w:noProof/>
            <w:webHidden/>
          </w:rPr>
          <w:tab/>
        </w:r>
        <w:r w:rsidR="006D48A9">
          <w:rPr>
            <w:noProof/>
            <w:webHidden/>
          </w:rPr>
          <w:fldChar w:fldCharType="begin"/>
        </w:r>
        <w:r w:rsidR="006D48A9">
          <w:rPr>
            <w:noProof/>
            <w:webHidden/>
          </w:rPr>
          <w:instrText xml:space="preserve"> PAGEREF _Toc7533394 \h </w:instrText>
        </w:r>
        <w:r w:rsidR="006D48A9">
          <w:rPr>
            <w:noProof/>
            <w:webHidden/>
          </w:rPr>
        </w:r>
        <w:r w:rsidR="006D48A9">
          <w:rPr>
            <w:noProof/>
            <w:webHidden/>
          </w:rPr>
          <w:fldChar w:fldCharType="separate"/>
        </w:r>
        <w:r w:rsidR="006D48A9">
          <w:rPr>
            <w:noProof/>
            <w:webHidden/>
          </w:rPr>
          <w:t>4</w:t>
        </w:r>
        <w:r w:rsidR="006D48A9">
          <w:rPr>
            <w:noProof/>
            <w:webHidden/>
          </w:rPr>
          <w:fldChar w:fldCharType="end"/>
        </w:r>
      </w:hyperlink>
    </w:p>
    <w:p w14:paraId="056612A9" w14:textId="5A8D3E95" w:rsidR="006D48A9" w:rsidRDefault="0056237C">
      <w:pPr>
        <w:pStyle w:val="TOC2"/>
        <w:rPr>
          <w:rFonts w:asciiTheme="minorHAnsi" w:hAnsiTheme="minorHAnsi"/>
          <w:noProof/>
        </w:rPr>
      </w:pPr>
      <w:hyperlink w:anchor="_Toc7533395" w:history="1">
        <w:r w:rsidR="006D48A9" w:rsidRPr="00C91916">
          <w:rPr>
            <w:rStyle w:val="Hyperlink"/>
            <w:noProof/>
          </w:rPr>
          <w:t>Scope</w:t>
        </w:r>
        <w:r w:rsidR="006D48A9">
          <w:rPr>
            <w:noProof/>
            <w:webHidden/>
          </w:rPr>
          <w:tab/>
        </w:r>
        <w:r w:rsidR="006D48A9">
          <w:rPr>
            <w:noProof/>
            <w:webHidden/>
          </w:rPr>
          <w:tab/>
        </w:r>
        <w:r w:rsidR="006D48A9">
          <w:rPr>
            <w:noProof/>
            <w:webHidden/>
          </w:rPr>
          <w:fldChar w:fldCharType="begin"/>
        </w:r>
        <w:r w:rsidR="006D48A9">
          <w:rPr>
            <w:noProof/>
            <w:webHidden/>
          </w:rPr>
          <w:instrText xml:space="preserve"> PAGEREF _Toc7533395 \h </w:instrText>
        </w:r>
        <w:r w:rsidR="006D48A9">
          <w:rPr>
            <w:noProof/>
            <w:webHidden/>
          </w:rPr>
        </w:r>
        <w:r w:rsidR="006D48A9">
          <w:rPr>
            <w:noProof/>
            <w:webHidden/>
          </w:rPr>
          <w:fldChar w:fldCharType="separate"/>
        </w:r>
        <w:r w:rsidR="006D48A9">
          <w:rPr>
            <w:noProof/>
            <w:webHidden/>
          </w:rPr>
          <w:t>4</w:t>
        </w:r>
        <w:r w:rsidR="006D48A9">
          <w:rPr>
            <w:noProof/>
            <w:webHidden/>
          </w:rPr>
          <w:fldChar w:fldCharType="end"/>
        </w:r>
      </w:hyperlink>
    </w:p>
    <w:p w14:paraId="37E68089" w14:textId="4FE5856E" w:rsidR="006D48A9" w:rsidRDefault="0056237C">
      <w:pPr>
        <w:pStyle w:val="TOC1"/>
        <w:rPr>
          <w:rFonts w:asciiTheme="minorHAnsi" w:hAnsiTheme="minorHAnsi"/>
          <w:noProof/>
        </w:rPr>
      </w:pPr>
      <w:hyperlink w:anchor="_Toc7533396" w:history="1">
        <w:r w:rsidR="006D48A9" w:rsidRPr="00C91916">
          <w:rPr>
            <w:rStyle w:val="Hyperlink"/>
            <w:noProof/>
          </w:rPr>
          <w:t>PFAS investigation</w:t>
        </w:r>
        <w:r w:rsidR="006D48A9">
          <w:rPr>
            <w:noProof/>
            <w:webHidden/>
          </w:rPr>
          <w:tab/>
        </w:r>
        <w:r w:rsidR="006D48A9">
          <w:rPr>
            <w:noProof/>
            <w:webHidden/>
          </w:rPr>
          <w:fldChar w:fldCharType="begin"/>
        </w:r>
        <w:r w:rsidR="006D48A9">
          <w:rPr>
            <w:noProof/>
            <w:webHidden/>
          </w:rPr>
          <w:instrText xml:space="preserve"> PAGEREF _Toc7533396 \h </w:instrText>
        </w:r>
        <w:r w:rsidR="006D48A9">
          <w:rPr>
            <w:noProof/>
            <w:webHidden/>
          </w:rPr>
        </w:r>
        <w:r w:rsidR="006D48A9">
          <w:rPr>
            <w:noProof/>
            <w:webHidden/>
          </w:rPr>
          <w:fldChar w:fldCharType="separate"/>
        </w:r>
        <w:r w:rsidR="006D48A9">
          <w:rPr>
            <w:noProof/>
            <w:webHidden/>
          </w:rPr>
          <w:t>5</w:t>
        </w:r>
        <w:r w:rsidR="006D48A9">
          <w:rPr>
            <w:noProof/>
            <w:webHidden/>
          </w:rPr>
          <w:fldChar w:fldCharType="end"/>
        </w:r>
      </w:hyperlink>
    </w:p>
    <w:p w14:paraId="20DDE8E1" w14:textId="25AF137B" w:rsidR="006D48A9" w:rsidRDefault="0056237C">
      <w:pPr>
        <w:pStyle w:val="TOC2"/>
        <w:rPr>
          <w:rFonts w:asciiTheme="minorHAnsi" w:hAnsiTheme="minorHAnsi"/>
          <w:noProof/>
        </w:rPr>
      </w:pPr>
      <w:hyperlink w:anchor="_Toc7533397" w:history="1">
        <w:r w:rsidR="006D48A9" w:rsidRPr="00C91916">
          <w:rPr>
            <w:rStyle w:val="Hyperlink"/>
            <w:noProof/>
          </w:rPr>
          <w:t>Investigation process</w:t>
        </w:r>
        <w:r w:rsidR="006D48A9">
          <w:rPr>
            <w:noProof/>
            <w:webHidden/>
          </w:rPr>
          <w:tab/>
        </w:r>
        <w:r w:rsidR="006D48A9">
          <w:rPr>
            <w:noProof/>
            <w:webHidden/>
          </w:rPr>
          <w:fldChar w:fldCharType="begin"/>
        </w:r>
        <w:r w:rsidR="006D48A9">
          <w:rPr>
            <w:noProof/>
            <w:webHidden/>
          </w:rPr>
          <w:instrText xml:space="preserve"> PAGEREF _Toc7533397 \h </w:instrText>
        </w:r>
        <w:r w:rsidR="006D48A9">
          <w:rPr>
            <w:noProof/>
            <w:webHidden/>
          </w:rPr>
        </w:r>
        <w:r w:rsidR="006D48A9">
          <w:rPr>
            <w:noProof/>
            <w:webHidden/>
          </w:rPr>
          <w:fldChar w:fldCharType="separate"/>
        </w:r>
        <w:r w:rsidR="006D48A9">
          <w:rPr>
            <w:noProof/>
            <w:webHidden/>
          </w:rPr>
          <w:t>5</w:t>
        </w:r>
        <w:r w:rsidR="006D48A9">
          <w:rPr>
            <w:noProof/>
            <w:webHidden/>
          </w:rPr>
          <w:fldChar w:fldCharType="end"/>
        </w:r>
      </w:hyperlink>
    </w:p>
    <w:p w14:paraId="7C3BC2CC" w14:textId="2451E773" w:rsidR="006D48A9" w:rsidRDefault="0056237C">
      <w:pPr>
        <w:pStyle w:val="TOC2"/>
        <w:rPr>
          <w:rFonts w:asciiTheme="minorHAnsi" w:hAnsiTheme="minorHAnsi"/>
          <w:noProof/>
        </w:rPr>
      </w:pPr>
      <w:hyperlink w:anchor="_Toc7533398" w:history="1">
        <w:r w:rsidR="006D48A9" w:rsidRPr="00C91916">
          <w:rPr>
            <w:rStyle w:val="Hyperlink"/>
            <w:noProof/>
          </w:rPr>
          <w:t>Step 1: Site identification</w:t>
        </w:r>
        <w:r w:rsidR="006D48A9">
          <w:rPr>
            <w:noProof/>
            <w:webHidden/>
          </w:rPr>
          <w:tab/>
        </w:r>
        <w:r w:rsidR="006D48A9">
          <w:rPr>
            <w:noProof/>
            <w:webHidden/>
          </w:rPr>
          <w:fldChar w:fldCharType="begin"/>
        </w:r>
        <w:r w:rsidR="006D48A9">
          <w:rPr>
            <w:noProof/>
            <w:webHidden/>
          </w:rPr>
          <w:instrText xml:space="preserve"> PAGEREF _Toc7533398 \h </w:instrText>
        </w:r>
        <w:r w:rsidR="006D48A9">
          <w:rPr>
            <w:noProof/>
            <w:webHidden/>
          </w:rPr>
        </w:r>
        <w:r w:rsidR="006D48A9">
          <w:rPr>
            <w:noProof/>
            <w:webHidden/>
          </w:rPr>
          <w:fldChar w:fldCharType="separate"/>
        </w:r>
        <w:r w:rsidR="006D48A9">
          <w:rPr>
            <w:noProof/>
            <w:webHidden/>
          </w:rPr>
          <w:t>7</w:t>
        </w:r>
        <w:r w:rsidR="006D48A9">
          <w:rPr>
            <w:noProof/>
            <w:webHidden/>
          </w:rPr>
          <w:fldChar w:fldCharType="end"/>
        </w:r>
      </w:hyperlink>
    </w:p>
    <w:p w14:paraId="1BACFBC1" w14:textId="0249C1D5" w:rsidR="006D48A9" w:rsidRDefault="0056237C">
      <w:pPr>
        <w:pStyle w:val="TOC2"/>
        <w:rPr>
          <w:rFonts w:asciiTheme="minorHAnsi" w:hAnsiTheme="minorHAnsi"/>
          <w:noProof/>
        </w:rPr>
      </w:pPr>
      <w:hyperlink w:anchor="_Toc7533399" w:history="1">
        <w:r w:rsidR="006D48A9" w:rsidRPr="00C91916">
          <w:rPr>
            <w:rStyle w:val="Hyperlink"/>
            <w:noProof/>
          </w:rPr>
          <w:t>Step 2: Preliminary site investigation (PSI)</w:t>
        </w:r>
        <w:r w:rsidR="006D48A9">
          <w:rPr>
            <w:noProof/>
            <w:webHidden/>
          </w:rPr>
          <w:tab/>
        </w:r>
        <w:r w:rsidR="006D48A9">
          <w:rPr>
            <w:noProof/>
            <w:webHidden/>
          </w:rPr>
          <w:fldChar w:fldCharType="begin"/>
        </w:r>
        <w:r w:rsidR="006D48A9">
          <w:rPr>
            <w:noProof/>
            <w:webHidden/>
          </w:rPr>
          <w:instrText xml:space="preserve"> PAGEREF _Toc7533399 \h </w:instrText>
        </w:r>
        <w:r w:rsidR="006D48A9">
          <w:rPr>
            <w:noProof/>
            <w:webHidden/>
          </w:rPr>
        </w:r>
        <w:r w:rsidR="006D48A9">
          <w:rPr>
            <w:noProof/>
            <w:webHidden/>
          </w:rPr>
          <w:fldChar w:fldCharType="separate"/>
        </w:r>
        <w:r w:rsidR="006D48A9">
          <w:rPr>
            <w:noProof/>
            <w:webHidden/>
          </w:rPr>
          <w:t>8</w:t>
        </w:r>
        <w:r w:rsidR="006D48A9">
          <w:rPr>
            <w:noProof/>
            <w:webHidden/>
          </w:rPr>
          <w:fldChar w:fldCharType="end"/>
        </w:r>
      </w:hyperlink>
    </w:p>
    <w:p w14:paraId="5642E777" w14:textId="154C6D2E" w:rsidR="006D48A9" w:rsidRDefault="0056237C">
      <w:pPr>
        <w:pStyle w:val="TOC2"/>
        <w:rPr>
          <w:rFonts w:asciiTheme="minorHAnsi" w:hAnsiTheme="minorHAnsi"/>
          <w:noProof/>
        </w:rPr>
      </w:pPr>
      <w:hyperlink w:anchor="_Toc7533400" w:history="1">
        <w:r w:rsidR="006D48A9" w:rsidRPr="00C91916">
          <w:rPr>
            <w:rStyle w:val="Hyperlink"/>
            <w:noProof/>
          </w:rPr>
          <w:t>Step 3: Detailed site investigation (DSI)</w:t>
        </w:r>
        <w:r w:rsidR="006D48A9">
          <w:rPr>
            <w:noProof/>
            <w:webHidden/>
          </w:rPr>
          <w:tab/>
        </w:r>
        <w:r w:rsidR="006D48A9">
          <w:rPr>
            <w:noProof/>
            <w:webHidden/>
          </w:rPr>
          <w:fldChar w:fldCharType="begin"/>
        </w:r>
        <w:r w:rsidR="006D48A9">
          <w:rPr>
            <w:noProof/>
            <w:webHidden/>
          </w:rPr>
          <w:instrText xml:space="preserve"> PAGEREF _Toc7533400 \h </w:instrText>
        </w:r>
        <w:r w:rsidR="006D48A9">
          <w:rPr>
            <w:noProof/>
            <w:webHidden/>
          </w:rPr>
        </w:r>
        <w:r w:rsidR="006D48A9">
          <w:rPr>
            <w:noProof/>
            <w:webHidden/>
          </w:rPr>
          <w:fldChar w:fldCharType="separate"/>
        </w:r>
        <w:r w:rsidR="006D48A9">
          <w:rPr>
            <w:noProof/>
            <w:webHidden/>
          </w:rPr>
          <w:t>8</w:t>
        </w:r>
        <w:r w:rsidR="006D48A9">
          <w:rPr>
            <w:noProof/>
            <w:webHidden/>
          </w:rPr>
          <w:fldChar w:fldCharType="end"/>
        </w:r>
      </w:hyperlink>
    </w:p>
    <w:p w14:paraId="5FB69D97" w14:textId="7AA90CEB" w:rsidR="006D48A9" w:rsidRDefault="0056237C">
      <w:pPr>
        <w:pStyle w:val="TOC2"/>
        <w:rPr>
          <w:rFonts w:asciiTheme="minorHAnsi" w:hAnsiTheme="minorHAnsi"/>
          <w:noProof/>
        </w:rPr>
      </w:pPr>
      <w:hyperlink w:anchor="_Toc7533401" w:history="1">
        <w:r w:rsidR="006D48A9" w:rsidRPr="00C91916">
          <w:rPr>
            <w:rStyle w:val="Hyperlink"/>
            <w:noProof/>
          </w:rPr>
          <w:t>Step 4: Outcome</w:t>
        </w:r>
        <w:r w:rsidR="006D48A9">
          <w:rPr>
            <w:noProof/>
            <w:webHidden/>
          </w:rPr>
          <w:tab/>
        </w:r>
        <w:r w:rsidR="006D48A9">
          <w:rPr>
            <w:noProof/>
            <w:webHidden/>
          </w:rPr>
          <w:fldChar w:fldCharType="begin"/>
        </w:r>
        <w:r w:rsidR="006D48A9">
          <w:rPr>
            <w:noProof/>
            <w:webHidden/>
          </w:rPr>
          <w:instrText xml:space="preserve"> PAGEREF _Toc7533401 \h </w:instrText>
        </w:r>
        <w:r w:rsidR="006D48A9">
          <w:rPr>
            <w:noProof/>
            <w:webHidden/>
          </w:rPr>
        </w:r>
        <w:r w:rsidR="006D48A9">
          <w:rPr>
            <w:noProof/>
            <w:webHidden/>
          </w:rPr>
          <w:fldChar w:fldCharType="separate"/>
        </w:r>
        <w:r w:rsidR="006D48A9">
          <w:rPr>
            <w:noProof/>
            <w:webHidden/>
          </w:rPr>
          <w:t>10</w:t>
        </w:r>
        <w:r w:rsidR="006D48A9">
          <w:rPr>
            <w:noProof/>
            <w:webHidden/>
          </w:rPr>
          <w:fldChar w:fldCharType="end"/>
        </w:r>
      </w:hyperlink>
    </w:p>
    <w:p w14:paraId="7BC89021" w14:textId="1B035D86" w:rsidR="006D48A9" w:rsidRDefault="0056237C">
      <w:pPr>
        <w:pStyle w:val="TOC1"/>
        <w:rPr>
          <w:rFonts w:asciiTheme="minorHAnsi" w:hAnsiTheme="minorHAnsi"/>
          <w:noProof/>
        </w:rPr>
      </w:pPr>
      <w:hyperlink w:anchor="_Toc7533402" w:history="1">
        <w:r w:rsidR="006D48A9" w:rsidRPr="00C91916">
          <w:rPr>
            <w:rStyle w:val="Hyperlink"/>
            <w:noProof/>
          </w:rPr>
          <w:t>Remediation or mitigation</w:t>
        </w:r>
        <w:r w:rsidR="006D48A9">
          <w:rPr>
            <w:noProof/>
            <w:webHidden/>
          </w:rPr>
          <w:tab/>
        </w:r>
        <w:r w:rsidR="006D48A9">
          <w:rPr>
            <w:noProof/>
            <w:webHidden/>
          </w:rPr>
          <w:fldChar w:fldCharType="begin"/>
        </w:r>
        <w:r w:rsidR="006D48A9">
          <w:rPr>
            <w:noProof/>
            <w:webHidden/>
          </w:rPr>
          <w:instrText xml:space="preserve"> PAGEREF _Toc7533402 \h </w:instrText>
        </w:r>
        <w:r w:rsidR="006D48A9">
          <w:rPr>
            <w:noProof/>
            <w:webHidden/>
          </w:rPr>
        </w:r>
        <w:r w:rsidR="006D48A9">
          <w:rPr>
            <w:noProof/>
            <w:webHidden/>
          </w:rPr>
          <w:fldChar w:fldCharType="separate"/>
        </w:r>
        <w:r w:rsidR="006D48A9">
          <w:rPr>
            <w:noProof/>
            <w:webHidden/>
          </w:rPr>
          <w:t>11</w:t>
        </w:r>
        <w:r w:rsidR="006D48A9">
          <w:rPr>
            <w:noProof/>
            <w:webHidden/>
          </w:rPr>
          <w:fldChar w:fldCharType="end"/>
        </w:r>
      </w:hyperlink>
    </w:p>
    <w:p w14:paraId="584E3FDE" w14:textId="1431A1DC" w:rsidR="006D48A9" w:rsidRDefault="0056237C">
      <w:pPr>
        <w:pStyle w:val="TOC2"/>
        <w:rPr>
          <w:rFonts w:asciiTheme="minorHAnsi" w:hAnsiTheme="minorHAnsi"/>
          <w:noProof/>
        </w:rPr>
      </w:pPr>
      <w:hyperlink w:anchor="_Toc7533403" w:history="1">
        <w:r w:rsidR="006D48A9" w:rsidRPr="00C91916">
          <w:rPr>
            <w:rStyle w:val="Hyperlink"/>
            <w:noProof/>
          </w:rPr>
          <w:t>Assessment of remedial options (ARO)</w:t>
        </w:r>
        <w:r w:rsidR="006D48A9">
          <w:rPr>
            <w:noProof/>
            <w:webHidden/>
          </w:rPr>
          <w:tab/>
        </w:r>
        <w:r w:rsidR="006D48A9">
          <w:rPr>
            <w:noProof/>
            <w:webHidden/>
          </w:rPr>
          <w:fldChar w:fldCharType="begin"/>
        </w:r>
        <w:r w:rsidR="006D48A9">
          <w:rPr>
            <w:noProof/>
            <w:webHidden/>
          </w:rPr>
          <w:instrText xml:space="preserve"> PAGEREF _Toc7533403 \h </w:instrText>
        </w:r>
        <w:r w:rsidR="006D48A9">
          <w:rPr>
            <w:noProof/>
            <w:webHidden/>
          </w:rPr>
        </w:r>
        <w:r w:rsidR="006D48A9">
          <w:rPr>
            <w:noProof/>
            <w:webHidden/>
          </w:rPr>
          <w:fldChar w:fldCharType="separate"/>
        </w:r>
        <w:r w:rsidR="006D48A9">
          <w:rPr>
            <w:noProof/>
            <w:webHidden/>
          </w:rPr>
          <w:t>11</w:t>
        </w:r>
        <w:r w:rsidR="006D48A9">
          <w:rPr>
            <w:noProof/>
            <w:webHidden/>
          </w:rPr>
          <w:fldChar w:fldCharType="end"/>
        </w:r>
      </w:hyperlink>
    </w:p>
    <w:p w14:paraId="4CF5077B" w14:textId="6CC21367" w:rsidR="006D48A9" w:rsidRDefault="0056237C">
      <w:pPr>
        <w:pStyle w:val="TOC2"/>
        <w:rPr>
          <w:rFonts w:asciiTheme="minorHAnsi" w:hAnsiTheme="minorHAnsi"/>
          <w:noProof/>
        </w:rPr>
      </w:pPr>
      <w:hyperlink w:anchor="_Toc7533404" w:history="1">
        <w:r w:rsidR="006D48A9" w:rsidRPr="00C91916">
          <w:rPr>
            <w:rStyle w:val="Hyperlink"/>
            <w:noProof/>
          </w:rPr>
          <w:t>Ongoing site management plan (OSMP)</w:t>
        </w:r>
        <w:r w:rsidR="006D48A9">
          <w:rPr>
            <w:noProof/>
            <w:webHidden/>
          </w:rPr>
          <w:tab/>
        </w:r>
        <w:r w:rsidR="006D48A9">
          <w:rPr>
            <w:noProof/>
            <w:webHidden/>
          </w:rPr>
          <w:fldChar w:fldCharType="begin"/>
        </w:r>
        <w:r w:rsidR="006D48A9">
          <w:rPr>
            <w:noProof/>
            <w:webHidden/>
          </w:rPr>
          <w:instrText xml:space="preserve"> PAGEREF _Toc7533404 \h </w:instrText>
        </w:r>
        <w:r w:rsidR="006D48A9">
          <w:rPr>
            <w:noProof/>
            <w:webHidden/>
          </w:rPr>
        </w:r>
        <w:r w:rsidR="006D48A9">
          <w:rPr>
            <w:noProof/>
            <w:webHidden/>
          </w:rPr>
          <w:fldChar w:fldCharType="separate"/>
        </w:r>
        <w:r w:rsidR="006D48A9">
          <w:rPr>
            <w:noProof/>
            <w:webHidden/>
          </w:rPr>
          <w:t>11</w:t>
        </w:r>
        <w:r w:rsidR="006D48A9">
          <w:rPr>
            <w:noProof/>
            <w:webHidden/>
          </w:rPr>
          <w:fldChar w:fldCharType="end"/>
        </w:r>
      </w:hyperlink>
    </w:p>
    <w:p w14:paraId="6F2CDFBC" w14:textId="3A8F333F" w:rsidR="006D48A9" w:rsidRDefault="0056237C">
      <w:pPr>
        <w:pStyle w:val="TOC2"/>
        <w:rPr>
          <w:rFonts w:asciiTheme="minorHAnsi" w:hAnsiTheme="minorHAnsi"/>
          <w:noProof/>
        </w:rPr>
      </w:pPr>
      <w:hyperlink w:anchor="_Toc7533405" w:history="1">
        <w:r w:rsidR="006D48A9" w:rsidRPr="00C91916">
          <w:rPr>
            <w:rStyle w:val="Hyperlink"/>
            <w:noProof/>
          </w:rPr>
          <w:t>Councils may investigate or take enforcement action</w:t>
        </w:r>
        <w:r w:rsidR="006D48A9">
          <w:rPr>
            <w:noProof/>
            <w:webHidden/>
          </w:rPr>
          <w:tab/>
        </w:r>
        <w:r w:rsidR="006D48A9">
          <w:rPr>
            <w:noProof/>
            <w:webHidden/>
          </w:rPr>
          <w:fldChar w:fldCharType="begin"/>
        </w:r>
        <w:r w:rsidR="006D48A9">
          <w:rPr>
            <w:noProof/>
            <w:webHidden/>
          </w:rPr>
          <w:instrText xml:space="preserve"> PAGEREF _Toc7533405 \h </w:instrText>
        </w:r>
        <w:r w:rsidR="006D48A9">
          <w:rPr>
            <w:noProof/>
            <w:webHidden/>
          </w:rPr>
        </w:r>
        <w:r w:rsidR="006D48A9">
          <w:rPr>
            <w:noProof/>
            <w:webHidden/>
          </w:rPr>
          <w:fldChar w:fldCharType="separate"/>
        </w:r>
        <w:r w:rsidR="006D48A9">
          <w:rPr>
            <w:noProof/>
            <w:webHidden/>
          </w:rPr>
          <w:t>13</w:t>
        </w:r>
        <w:r w:rsidR="006D48A9">
          <w:rPr>
            <w:noProof/>
            <w:webHidden/>
          </w:rPr>
          <w:fldChar w:fldCharType="end"/>
        </w:r>
      </w:hyperlink>
    </w:p>
    <w:p w14:paraId="27901846" w14:textId="77C0EF1E" w:rsidR="006D48A9" w:rsidRDefault="0056237C">
      <w:pPr>
        <w:pStyle w:val="TOC1"/>
        <w:rPr>
          <w:rFonts w:asciiTheme="minorHAnsi" w:hAnsiTheme="minorHAnsi"/>
          <w:noProof/>
        </w:rPr>
      </w:pPr>
      <w:hyperlink w:anchor="_Toc7533406" w:history="1">
        <w:r w:rsidR="006D48A9" w:rsidRPr="00C91916">
          <w:rPr>
            <w:rStyle w:val="Hyperlink"/>
            <w:noProof/>
          </w:rPr>
          <w:t>Funding</w:t>
        </w:r>
        <w:r w:rsidR="006D48A9">
          <w:rPr>
            <w:noProof/>
            <w:webHidden/>
          </w:rPr>
          <w:tab/>
        </w:r>
        <w:r w:rsidR="006D48A9">
          <w:rPr>
            <w:noProof/>
            <w:webHidden/>
          </w:rPr>
          <w:fldChar w:fldCharType="begin"/>
        </w:r>
        <w:r w:rsidR="006D48A9">
          <w:rPr>
            <w:noProof/>
            <w:webHidden/>
          </w:rPr>
          <w:instrText xml:space="preserve"> PAGEREF _Toc7533406 \h </w:instrText>
        </w:r>
        <w:r w:rsidR="006D48A9">
          <w:rPr>
            <w:noProof/>
            <w:webHidden/>
          </w:rPr>
        </w:r>
        <w:r w:rsidR="006D48A9">
          <w:rPr>
            <w:noProof/>
            <w:webHidden/>
          </w:rPr>
          <w:fldChar w:fldCharType="separate"/>
        </w:r>
        <w:r w:rsidR="006D48A9">
          <w:rPr>
            <w:noProof/>
            <w:webHidden/>
          </w:rPr>
          <w:t>15</w:t>
        </w:r>
        <w:r w:rsidR="006D48A9">
          <w:rPr>
            <w:noProof/>
            <w:webHidden/>
          </w:rPr>
          <w:fldChar w:fldCharType="end"/>
        </w:r>
      </w:hyperlink>
    </w:p>
    <w:p w14:paraId="5DFFFB56" w14:textId="44A0B62E" w:rsidR="006D48A9" w:rsidRDefault="0056237C">
      <w:pPr>
        <w:pStyle w:val="TOC2"/>
        <w:rPr>
          <w:rFonts w:asciiTheme="minorHAnsi" w:hAnsiTheme="minorHAnsi"/>
          <w:noProof/>
        </w:rPr>
      </w:pPr>
      <w:hyperlink w:anchor="_Toc7533407" w:history="1">
        <w:r w:rsidR="006D48A9" w:rsidRPr="00C91916">
          <w:rPr>
            <w:rStyle w:val="Hyperlink"/>
            <w:noProof/>
          </w:rPr>
          <w:t>Responsibility</w:t>
        </w:r>
        <w:r w:rsidR="006D48A9">
          <w:rPr>
            <w:noProof/>
            <w:webHidden/>
          </w:rPr>
          <w:tab/>
        </w:r>
        <w:r w:rsidR="006D48A9">
          <w:rPr>
            <w:noProof/>
            <w:webHidden/>
          </w:rPr>
          <w:fldChar w:fldCharType="begin"/>
        </w:r>
        <w:r w:rsidR="006D48A9">
          <w:rPr>
            <w:noProof/>
            <w:webHidden/>
          </w:rPr>
          <w:instrText xml:space="preserve"> PAGEREF _Toc7533407 \h </w:instrText>
        </w:r>
        <w:r w:rsidR="006D48A9">
          <w:rPr>
            <w:noProof/>
            <w:webHidden/>
          </w:rPr>
        </w:r>
        <w:r w:rsidR="006D48A9">
          <w:rPr>
            <w:noProof/>
            <w:webHidden/>
          </w:rPr>
          <w:fldChar w:fldCharType="separate"/>
        </w:r>
        <w:r w:rsidR="006D48A9">
          <w:rPr>
            <w:noProof/>
            <w:webHidden/>
          </w:rPr>
          <w:t>15</w:t>
        </w:r>
        <w:r w:rsidR="006D48A9">
          <w:rPr>
            <w:noProof/>
            <w:webHidden/>
          </w:rPr>
          <w:fldChar w:fldCharType="end"/>
        </w:r>
      </w:hyperlink>
    </w:p>
    <w:p w14:paraId="4059FE24" w14:textId="3B1D456F" w:rsidR="006D48A9" w:rsidRDefault="0056237C">
      <w:pPr>
        <w:pStyle w:val="TOC2"/>
        <w:rPr>
          <w:rFonts w:asciiTheme="minorHAnsi" w:hAnsiTheme="minorHAnsi"/>
          <w:noProof/>
        </w:rPr>
      </w:pPr>
      <w:hyperlink w:anchor="_Toc7533408" w:history="1">
        <w:r w:rsidR="006D48A9" w:rsidRPr="00C91916">
          <w:rPr>
            <w:rStyle w:val="Hyperlink"/>
            <w:noProof/>
          </w:rPr>
          <w:t>Contaminated Sites Remediation Fund (CSRF)</w:t>
        </w:r>
        <w:r w:rsidR="006D48A9">
          <w:rPr>
            <w:noProof/>
            <w:webHidden/>
          </w:rPr>
          <w:tab/>
        </w:r>
        <w:r w:rsidR="006D48A9">
          <w:rPr>
            <w:noProof/>
            <w:webHidden/>
          </w:rPr>
          <w:fldChar w:fldCharType="begin"/>
        </w:r>
        <w:r w:rsidR="006D48A9">
          <w:rPr>
            <w:noProof/>
            <w:webHidden/>
          </w:rPr>
          <w:instrText xml:space="preserve"> PAGEREF _Toc7533408 \h </w:instrText>
        </w:r>
        <w:r w:rsidR="006D48A9">
          <w:rPr>
            <w:noProof/>
            <w:webHidden/>
          </w:rPr>
        </w:r>
        <w:r w:rsidR="006D48A9">
          <w:rPr>
            <w:noProof/>
            <w:webHidden/>
          </w:rPr>
          <w:fldChar w:fldCharType="separate"/>
        </w:r>
        <w:r w:rsidR="006D48A9">
          <w:rPr>
            <w:noProof/>
            <w:webHidden/>
          </w:rPr>
          <w:t>15</w:t>
        </w:r>
        <w:r w:rsidR="006D48A9">
          <w:rPr>
            <w:noProof/>
            <w:webHidden/>
          </w:rPr>
          <w:fldChar w:fldCharType="end"/>
        </w:r>
      </w:hyperlink>
    </w:p>
    <w:p w14:paraId="57777422" w14:textId="027C2DE9" w:rsidR="006D48A9" w:rsidRDefault="0056237C">
      <w:pPr>
        <w:pStyle w:val="TOC2"/>
        <w:rPr>
          <w:rFonts w:asciiTheme="minorHAnsi" w:hAnsiTheme="minorHAnsi"/>
          <w:noProof/>
        </w:rPr>
      </w:pPr>
      <w:hyperlink w:anchor="_Toc7533409" w:history="1">
        <w:r w:rsidR="006D48A9" w:rsidRPr="00C91916">
          <w:rPr>
            <w:rStyle w:val="Hyperlink"/>
            <w:noProof/>
          </w:rPr>
          <w:t>Deductions for environmental expenditure</w:t>
        </w:r>
        <w:r w:rsidR="006D48A9">
          <w:rPr>
            <w:noProof/>
            <w:webHidden/>
          </w:rPr>
          <w:tab/>
        </w:r>
        <w:r w:rsidR="006D48A9">
          <w:rPr>
            <w:noProof/>
            <w:webHidden/>
          </w:rPr>
          <w:fldChar w:fldCharType="begin"/>
        </w:r>
        <w:r w:rsidR="006D48A9">
          <w:rPr>
            <w:noProof/>
            <w:webHidden/>
          </w:rPr>
          <w:instrText xml:space="preserve"> PAGEREF _Toc7533409 \h </w:instrText>
        </w:r>
        <w:r w:rsidR="006D48A9">
          <w:rPr>
            <w:noProof/>
            <w:webHidden/>
          </w:rPr>
        </w:r>
        <w:r w:rsidR="006D48A9">
          <w:rPr>
            <w:noProof/>
            <w:webHidden/>
          </w:rPr>
          <w:fldChar w:fldCharType="separate"/>
        </w:r>
        <w:r w:rsidR="006D48A9">
          <w:rPr>
            <w:noProof/>
            <w:webHidden/>
          </w:rPr>
          <w:t>15</w:t>
        </w:r>
        <w:r w:rsidR="006D48A9">
          <w:rPr>
            <w:noProof/>
            <w:webHidden/>
          </w:rPr>
          <w:fldChar w:fldCharType="end"/>
        </w:r>
      </w:hyperlink>
    </w:p>
    <w:p w14:paraId="1CAF1A04" w14:textId="5E5FA8D5" w:rsidR="006D48A9" w:rsidRDefault="0056237C">
      <w:pPr>
        <w:pStyle w:val="TOC2"/>
        <w:rPr>
          <w:rFonts w:asciiTheme="minorHAnsi" w:hAnsiTheme="minorHAnsi"/>
          <w:noProof/>
        </w:rPr>
      </w:pPr>
      <w:hyperlink w:anchor="_Toc7533410" w:history="1">
        <w:r w:rsidR="006D48A9" w:rsidRPr="00C91916">
          <w:rPr>
            <w:rStyle w:val="Hyperlink"/>
            <w:noProof/>
          </w:rPr>
          <w:t>Stakeholder engagement and risk communication</w:t>
        </w:r>
        <w:r w:rsidR="006D48A9">
          <w:rPr>
            <w:noProof/>
            <w:webHidden/>
          </w:rPr>
          <w:tab/>
        </w:r>
        <w:r w:rsidR="006D48A9">
          <w:rPr>
            <w:noProof/>
            <w:webHidden/>
          </w:rPr>
          <w:fldChar w:fldCharType="begin"/>
        </w:r>
        <w:r w:rsidR="006D48A9">
          <w:rPr>
            <w:noProof/>
            <w:webHidden/>
          </w:rPr>
          <w:instrText xml:space="preserve"> PAGEREF _Toc7533410 \h </w:instrText>
        </w:r>
        <w:r w:rsidR="006D48A9">
          <w:rPr>
            <w:noProof/>
            <w:webHidden/>
          </w:rPr>
        </w:r>
        <w:r w:rsidR="006D48A9">
          <w:rPr>
            <w:noProof/>
            <w:webHidden/>
          </w:rPr>
          <w:fldChar w:fldCharType="separate"/>
        </w:r>
        <w:r w:rsidR="006D48A9">
          <w:rPr>
            <w:noProof/>
            <w:webHidden/>
          </w:rPr>
          <w:t>15</w:t>
        </w:r>
        <w:r w:rsidR="006D48A9">
          <w:rPr>
            <w:noProof/>
            <w:webHidden/>
          </w:rPr>
          <w:fldChar w:fldCharType="end"/>
        </w:r>
      </w:hyperlink>
    </w:p>
    <w:p w14:paraId="0485C0E2" w14:textId="55A4D4D0" w:rsidR="006D48A9" w:rsidRDefault="0056237C">
      <w:pPr>
        <w:pStyle w:val="TOC2"/>
        <w:rPr>
          <w:rFonts w:asciiTheme="minorHAnsi" w:hAnsiTheme="minorHAnsi"/>
          <w:noProof/>
        </w:rPr>
      </w:pPr>
      <w:hyperlink w:anchor="_Toc7533411" w:history="1">
        <w:r w:rsidR="006D48A9" w:rsidRPr="00C91916">
          <w:rPr>
            <w:rStyle w:val="Hyperlink"/>
            <w:noProof/>
          </w:rPr>
          <w:t>Further information</w:t>
        </w:r>
        <w:r w:rsidR="006D48A9">
          <w:rPr>
            <w:noProof/>
            <w:webHidden/>
          </w:rPr>
          <w:tab/>
        </w:r>
        <w:r w:rsidR="006D48A9">
          <w:rPr>
            <w:noProof/>
            <w:webHidden/>
          </w:rPr>
          <w:fldChar w:fldCharType="begin"/>
        </w:r>
        <w:r w:rsidR="006D48A9">
          <w:rPr>
            <w:noProof/>
            <w:webHidden/>
          </w:rPr>
          <w:instrText xml:space="preserve"> PAGEREF _Toc7533411 \h </w:instrText>
        </w:r>
        <w:r w:rsidR="006D48A9">
          <w:rPr>
            <w:noProof/>
            <w:webHidden/>
          </w:rPr>
        </w:r>
        <w:r w:rsidR="006D48A9">
          <w:rPr>
            <w:noProof/>
            <w:webHidden/>
          </w:rPr>
          <w:fldChar w:fldCharType="separate"/>
        </w:r>
        <w:r w:rsidR="006D48A9">
          <w:rPr>
            <w:noProof/>
            <w:webHidden/>
          </w:rPr>
          <w:t>16</w:t>
        </w:r>
        <w:r w:rsidR="006D48A9">
          <w:rPr>
            <w:noProof/>
            <w:webHidden/>
          </w:rPr>
          <w:fldChar w:fldCharType="end"/>
        </w:r>
      </w:hyperlink>
    </w:p>
    <w:p w14:paraId="1A453EC6" w14:textId="7EC8A95C" w:rsidR="006D48A9" w:rsidRDefault="0056237C">
      <w:pPr>
        <w:pStyle w:val="TOC1"/>
        <w:rPr>
          <w:rFonts w:asciiTheme="minorHAnsi" w:hAnsiTheme="minorHAnsi"/>
          <w:noProof/>
        </w:rPr>
      </w:pPr>
      <w:hyperlink w:anchor="_Toc7533412" w:history="1">
        <w:r w:rsidR="006D48A9" w:rsidRPr="00C91916">
          <w:rPr>
            <w:rStyle w:val="Hyperlink"/>
            <w:noProof/>
          </w:rPr>
          <w:t>Appendix: Environmental guideline values</w:t>
        </w:r>
        <w:r w:rsidR="006D48A9">
          <w:rPr>
            <w:noProof/>
            <w:webHidden/>
          </w:rPr>
          <w:tab/>
        </w:r>
        <w:r w:rsidR="006D48A9">
          <w:rPr>
            <w:noProof/>
            <w:webHidden/>
          </w:rPr>
          <w:fldChar w:fldCharType="begin"/>
        </w:r>
        <w:r w:rsidR="006D48A9">
          <w:rPr>
            <w:noProof/>
            <w:webHidden/>
          </w:rPr>
          <w:instrText xml:space="preserve"> PAGEREF _Toc7533412 \h </w:instrText>
        </w:r>
        <w:r w:rsidR="006D48A9">
          <w:rPr>
            <w:noProof/>
            <w:webHidden/>
          </w:rPr>
        </w:r>
        <w:r w:rsidR="006D48A9">
          <w:rPr>
            <w:noProof/>
            <w:webHidden/>
          </w:rPr>
          <w:fldChar w:fldCharType="separate"/>
        </w:r>
        <w:r w:rsidR="006D48A9">
          <w:rPr>
            <w:noProof/>
            <w:webHidden/>
          </w:rPr>
          <w:t>17</w:t>
        </w:r>
        <w:r w:rsidR="006D48A9">
          <w:rPr>
            <w:noProof/>
            <w:webHidden/>
          </w:rPr>
          <w:fldChar w:fldCharType="end"/>
        </w:r>
      </w:hyperlink>
    </w:p>
    <w:p w14:paraId="351CC1BC" w14:textId="30ECCB6F" w:rsidR="004F64B3" w:rsidRDefault="00775F57" w:rsidP="008278F3">
      <w:pPr>
        <w:pStyle w:val="Glossary"/>
        <w:sectPr w:rsidR="004F64B3" w:rsidSect="00475D30">
          <w:footerReference w:type="even" r:id="rId17"/>
          <w:footerReference w:type="default" r:id="rId18"/>
          <w:pgSz w:w="11907" w:h="16840" w:code="9"/>
          <w:pgMar w:top="1134" w:right="1418" w:bottom="1134" w:left="1418" w:header="567" w:footer="567" w:gutter="567"/>
          <w:cols w:space="720"/>
          <w:docGrid w:linePitch="299"/>
        </w:sectPr>
      </w:pPr>
      <w:r w:rsidRPr="006B77BB">
        <w:rPr>
          <w:color w:val="0092CF"/>
        </w:rPr>
        <w:fldChar w:fldCharType="end"/>
      </w:r>
    </w:p>
    <w:p w14:paraId="7479607B" w14:textId="77777777" w:rsidR="004F64B3" w:rsidRDefault="004F64B3" w:rsidP="004F64B3">
      <w:pPr>
        <w:pStyle w:val="Heading1"/>
      </w:pPr>
      <w:bookmarkStart w:id="1" w:name="_Toc7533394"/>
      <w:r>
        <w:lastRenderedPageBreak/>
        <w:t>Introduction</w:t>
      </w:r>
      <w:bookmarkEnd w:id="1"/>
    </w:p>
    <w:p w14:paraId="4CD2A664" w14:textId="119063B6" w:rsidR="004F64B3" w:rsidRDefault="004F64B3" w:rsidP="004F64B3">
      <w:pPr>
        <w:pStyle w:val="BodyText"/>
      </w:pPr>
      <w:r>
        <w:t>This document outlines the process for gathering information to make decisions about investigating, managing and remediating sites contaminated with per- and poly-fluoroalkyl substances (PFAS). It is aimed at:</w:t>
      </w:r>
    </w:p>
    <w:p w14:paraId="48461C60" w14:textId="77777777" w:rsidR="004F64B3" w:rsidRDefault="004F64B3" w:rsidP="004F64B3">
      <w:pPr>
        <w:pStyle w:val="Bullet"/>
      </w:pPr>
      <w:r>
        <w:t>contaminated land practitioners and regulatory authorities</w:t>
      </w:r>
    </w:p>
    <w:p w14:paraId="44BB64BE" w14:textId="77777777" w:rsidR="004F64B3" w:rsidRDefault="004F64B3" w:rsidP="004F64B3">
      <w:pPr>
        <w:pStyle w:val="Bullet"/>
      </w:pPr>
      <w:r>
        <w:t xml:space="preserve">owners, potential owners, or occupiers of sites where PFAS are present or suspected in the soil or water. </w:t>
      </w:r>
    </w:p>
    <w:p w14:paraId="6414AD01" w14:textId="701C1725" w:rsidR="004F64B3" w:rsidRPr="001139BB" w:rsidRDefault="004F64B3" w:rsidP="004F64B3">
      <w:pPr>
        <w:pStyle w:val="BodyText"/>
      </w:pPr>
      <w:r>
        <w:t>The document is</w:t>
      </w:r>
      <w:r w:rsidRPr="009B7EFB">
        <w:t xml:space="preserve"> an overview</w:t>
      </w:r>
      <w:r>
        <w:t xml:space="preserve"> of</w:t>
      </w:r>
      <w:r w:rsidRPr="009B7EFB">
        <w:t xml:space="preserve"> the duties, functions and responsibilities of councils and landowners</w:t>
      </w:r>
      <w:r>
        <w:t>. It</w:t>
      </w:r>
      <w:r w:rsidRPr="009B7EFB">
        <w:t xml:space="preserve"> suppleme</w:t>
      </w:r>
      <w:r w:rsidRPr="001139BB">
        <w:t xml:space="preserve">nts the </w:t>
      </w:r>
      <w:hyperlink r:id="rId19" w:history="1">
        <w:r w:rsidRPr="00F34CDA">
          <w:rPr>
            <w:rStyle w:val="Hyperlink"/>
          </w:rPr>
          <w:t>National Environmental Standard for Assessing and Managing Contaminants in Soil to Protect Human Health</w:t>
        </w:r>
      </w:hyperlink>
      <w:r w:rsidRPr="001139BB">
        <w:t xml:space="preserve"> (NES) and the </w:t>
      </w:r>
      <w:hyperlink r:id="rId20" w:history="1">
        <w:r w:rsidRPr="00F34CDA">
          <w:rPr>
            <w:rStyle w:val="Hyperlink"/>
          </w:rPr>
          <w:t>Contaminated Land Management Guidelines</w:t>
        </w:r>
      </w:hyperlink>
      <w:r w:rsidRPr="001139BB">
        <w:t>.</w:t>
      </w:r>
    </w:p>
    <w:p w14:paraId="083DF35B" w14:textId="77777777" w:rsidR="004F64B3" w:rsidRDefault="004F64B3" w:rsidP="009A3E46">
      <w:pPr>
        <w:pStyle w:val="BodyText"/>
        <w:spacing w:after="360"/>
      </w:pPr>
      <w:r w:rsidRPr="004F64B3">
        <w:t>It also outlines potential funding streams for investigation and response, and considers stakeholder engagement.</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7823D6" w14:paraId="45F87062" w14:textId="77777777" w:rsidTr="008278F3">
        <w:tc>
          <w:tcPr>
            <w:tcW w:w="0" w:type="auto"/>
            <w:shd w:val="clear" w:color="auto" w:fill="D2DDE2"/>
          </w:tcPr>
          <w:p w14:paraId="4BADA46D" w14:textId="77777777" w:rsidR="004F64B3" w:rsidRDefault="004F64B3" w:rsidP="004F64B3">
            <w:pPr>
              <w:pStyle w:val="Blueboxheading"/>
            </w:pPr>
            <w:bookmarkStart w:id="2" w:name="_Toc345760336"/>
            <w:r>
              <w:t>What are PFAS?</w:t>
            </w:r>
          </w:p>
          <w:p w14:paraId="5F89D68B" w14:textId="001B43EF" w:rsidR="007823D6" w:rsidRPr="00345928" w:rsidRDefault="004F64B3" w:rsidP="004F64B3">
            <w:pPr>
              <w:pStyle w:val="Blueboxtext"/>
              <w:spacing w:after="240"/>
            </w:pPr>
            <w:r>
              <w:t>PFAS (per- and poly</w:t>
            </w:r>
            <w:r w:rsidR="00BB49BA">
              <w:t>-</w:t>
            </w:r>
            <w:r>
              <w:t>fluoroalkyl substances) are a group of man-made chemicals that have been widely used in industrial and domestic settings. They are stable, highly mobile, and are often present as a contaminant in soils, water and animal and plant life.</w:t>
            </w:r>
          </w:p>
        </w:tc>
      </w:tr>
    </w:tbl>
    <w:p w14:paraId="66FC29EE" w14:textId="77777777" w:rsidR="0078423D" w:rsidRPr="00D83461" w:rsidRDefault="00D83461" w:rsidP="009A3E46">
      <w:pPr>
        <w:pStyle w:val="Heading2"/>
        <w:spacing w:before="480"/>
      </w:pPr>
      <w:bookmarkStart w:id="3" w:name="_Toc7533395"/>
      <w:bookmarkEnd w:id="2"/>
      <w:r>
        <w:t>Scope</w:t>
      </w:r>
      <w:bookmarkEnd w:id="3"/>
    </w:p>
    <w:p w14:paraId="72E1707E" w14:textId="77777777" w:rsidR="0078423D" w:rsidRDefault="0078423D" w:rsidP="0078423D">
      <w:pPr>
        <w:pStyle w:val="BodyText"/>
      </w:pPr>
      <w:r>
        <w:t>This document:</w:t>
      </w:r>
    </w:p>
    <w:p w14:paraId="4DA5743B" w14:textId="77777777" w:rsidR="0078423D" w:rsidRDefault="0078423D" w:rsidP="0078423D">
      <w:pPr>
        <w:pStyle w:val="Bullet"/>
      </w:pPr>
      <w:r>
        <w:t>outlines the current mechanisms to manage contaminated land</w:t>
      </w:r>
    </w:p>
    <w:p w14:paraId="5F68C8FC" w14:textId="77777777" w:rsidR="0078423D" w:rsidRDefault="0078423D" w:rsidP="0078423D">
      <w:pPr>
        <w:pStyle w:val="Bullet"/>
      </w:pPr>
      <w:r>
        <w:t>links to PFAS documents</w:t>
      </w:r>
    </w:p>
    <w:p w14:paraId="51F3454F" w14:textId="77777777" w:rsidR="0078423D" w:rsidRDefault="0078423D" w:rsidP="0078423D">
      <w:pPr>
        <w:pStyle w:val="Bullet"/>
      </w:pPr>
      <w:r>
        <w:t>gives references for more detailed information.</w:t>
      </w:r>
    </w:p>
    <w:p w14:paraId="7CB6D8C3" w14:textId="77777777" w:rsidR="0078423D" w:rsidRDefault="0078423D" w:rsidP="0078423D">
      <w:pPr>
        <w:pStyle w:val="BodyText"/>
      </w:pPr>
      <w:r>
        <w:t>It does not:</w:t>
      </w:r>
    </w:p>
    <w:p w14:paraId="0DA6B4B8" w14:textId="77777777" w:rsidR="0078423D" w:rsidRDefault="0078423D" w:rsidP="0078423D">
      <w:pPr>
        <w:pStyle w:val="Bullet"/>
      </w:pPr>
      <w:r>
        <w:t>prioritise PFAS against other contaminants</w:t>
      </w:r>
    </w:p>
    <w:p w14:paraId="4F6F9E55" w14:textId="34C279F3" w:rsidR="0078423D" w:rsidRDefault="0078423D" w:rsidP="00A86EA4">
      <w:pPr>
        <w:pStyle w:val="Bullet"/>
        <w:spacing w:after="360"/>
      </w:pPr>
      <w:r>
        <w:t>provide New Zealand-specific Environmental Guideline Values.</w:t>
      </w: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D83461" w14:paraId="3EA309E3" w14:textId="77777777" w:rsidTr="008278F3">
        <w:tc>
          <w:tcPr>
            <w:tcW w:w="0" w:type="auto"/>
            <w:shd w:val="clear" w:color="auto" w:fill="D2DDE2"/>
          </w:tcPr>
          <w:p w14:paraId="4A4F7EC2" w14:textId="68B58A58" w:rsidR="00D83461" w:rsidRPr="0079698C" w:rsidRDefault="00D83461" w:rsidP="00D83461">
            <w:pPr>
              <w:pStyle w:val="Blueboxheading"/>
            </w:pPr>
            <w:r w:rsidRPr="0079698C">
              <w:t xml:space="preserve">Applying </w:t>
            </w:r>
            <w:r w:rsidR="00F34CDA" w:rsidRPr="0079698C">
              <w:t>Environmental Guideline Values (</w:t>
            </w:r>
            <w:r w:rsidRPr="0079698C">
              <w:t>EGVs</w:t>
            </w:r>
            <w:r w:rsidR="00F34CDA" w:rsidRPr="0079698C">
              <w:t>)</w:t>
            </w:r>
          </w:p>
          <w:p w14:paraId="66BEBE9A" w14:textId="77615A4E" w:rsidR="00D83461" w:rsidRPr="00345928" w:rsidRDefault="00D83461" w:rsidP="00F34CDA">
            <w:pPr>
              <w:pStyle w:val="Blueboxtext"/>
              <w:spacing w:after="240"/>
            </w:pPr>
            <w:r w:rsidRPr="0079698C">
              <w:t xml:space="preserve">EGVs should be selected from the guidelines worldwide in accordance with </w:t>
            </w:r>
            <w:r w:rsidRPr="0079698C">
              <w:rPr>
                <w:i/>
              </w:rPr>
              <w:t xml:space="preserve">Contaminated Land Management </w:t>
            </w:r>
            <w:hyperlink r:id="rId21" w:history="1">
              <w:r w:rsidRPr="0079698C">
                <w:rPr>
                  <w:rStyle w:val="Hyperlink"/>
                  <w:i/>
                </w:rPr>
                <w:t>Guideline No. 2 – Hierarchy and Application in New Zealand of Environmental Guideline Values</w:t>
              </w:r>
            </w:hyperlink>
            <w:r w:rsidRPr="0079698C">
              <w:t xml:space="preserve">. Site-specific soil guideline values may be developed in line with the </w:t>
            </w:r>
            <w:hyperlink r:id="rId22" w:history="1">
              <w:r w:rsidR="00F34CDA" w:rsidRPr="0079698C">
                <w:rPr>
                  <w:rStyle w:val="Hyperlink"/>
                  <w:i/>
                </w:rPr>
                <w:t>M</w:t>
              </w:r>
              <w:r w:rsidRPr="0079698C">
                <w:rPr>
                  <w:rStyle w:val="Hyperlink"/>
                  <w:i/>
                </w:rPr>
                <w:t>ethodology for deriving standards for contaminants in soil to protect human health</w:t>
              </w:r>
            </w:hyperlink>
            <w:r w:rsidRPr="0079698C">
              <w:t xml:space="preserve">. See </w:t>
            </w:r>
            <w:r w:rsidR="00F34CDA" w:rsidRPr="0079698C">
              <w:t xml:space="preserve">the </w:t>
            </w:r>
            <w:hyperlink w:anchor="_Appendix_I:_PFAS" w:history="1">
              <w:r w:rsidRPr="0079698C">
                <w:rPr>
                  <w:rStyle w:val="Hyperlink"/>
                </w:rPr>
                <w:t>Appendix</w:t>
              </w:r>
            </w:hyperlink>
            <w:r w:rsidRPr="0079698C">
              <w:t xml:space="preserve"> for the </w:t>
            </w:r>
            <w:r w:rsidRPr="0079698C">
              <w:rPr>
                <w:i/>
              </w:rPr>
              <w:t>Heads of Environmental Protection Authorities Australia New Zealand PFAS National Environmental Management Plan</w:t>
            </w:r>
            <w:r w:rsidRPr="0079698C">
              <w:t xml:space="preserve"> (January 2018) EGVs.</w:t>
            </w:r>
          </w:p>
        </w:tc>
      </w:tr>
    </w:tbl>
    <w:p w14:paraId="0FBF318B" w14:textId="77777777" w:rsidR="00D83461" w:rsidRDefault="00D83461" w:rsidP="00D83461">
      <w:pPr>
        <w:pStyle w:val="BodyText"/>
        <w:spacing w:before="0" w:after="0"/>
      </w:pPr>
    </w:p>
    <w:p w14:paraId="34DC6070" w14:textId="77777777" w:rsidR="0005261E" w:rsidRDefault="0005261E">
      <w:pPr>
        <w:spacing w:before="0" w:after="200" w:line="276" w:lineRule="auto"/>
        <w:jc w:val="left"/>
      </w:pPr>
      <w:r>
        <w:br w:type="page"/>
      </w:r>
    </w:p>
    <w:p w14:paraId="056C7259" w14:textId="7682AB88" w:rsidR="0005261E" w:rsidRDefault="0005261E" w:rsidP="0005261E">
      <w:pPr>
        <w:pStyle w:val="Heading1"/>
      </w:pPr>
      <w:bookmarkStart w:id="4" w:name="_Toc7533396"/>
      <w:r>
        <w:lastRenderedPageBreak/>
        <w:t>PFAS investigation</w:t>
      </w:r>
      <w:bookmarkEnd w:id="4"/>
    </w:p>
    <w:p w14:paraId="2C6B62A7" w14:textId="77777777" w:rsidR="0005261E" w:rsidRDefault="0005261E" w:rsidP="0005261E">
      <w:pPr>
        <w:pStyle w:val="Heading2"/>
        <w:spacing w:before="240"/>
      </w:pPr>
      <w:bookmarkStart w:id="5" w:name="_Toc7533397"/>
      <w:r>
        <w:t>Investigation process</w:t>
      </w:r>
      <w:bookmarkEnd w:id="5"/>
    </w:p>
    <w:p w14:paraId="2EB45B7D" w14:textId="77777777" w:rsidR="0005261E" w:rsidRPr="0005261E" w:rsidRDefault="0005261E" w:rsidP="0005261E">
      <w:pPr>
        <w:pStyle w:val="BodyText"/>
      </w:pPr>
      <w:r>
        <w:t>PFAS have unique properties, and sampling and analysing these contaminants requires specific techniques. Ho</w:t>
      </w:r>
      <w:r w:rsidRPr="0005261E">
        <w:t xml:space="preserve">wever, the process for assessing them is the same as for other contaminants such as </w:t>
      </w:r>
      <w:r w:rsidR="00145F88">
        <w:t xml:space="preserve">lead, nitrates and dioxins. </w:t>
      </w:r>
    </w:p>
    <w:p w14:paraId="58269470" w14:textId="7921AFB8" w:rsidR="0005261E" w:rsidRDefault="0005261E" w:rsidP="0005261E">
      <w:pPr>
        <w:pStyle w:val="BodyText"/>
      </w:pPr>
      <w:r w:rsidRPr="0005261E">
        <w:t xml:space="preserve">Investigation involves four </w:t>
      </w:r>
      <w:r>
        <w:t xml:space="preserve">steps (see </w:t>
      </w:r>
      <w:r w:rsidR="00431CB8">
        <w:t xml:space="preserve">figure </w:t>
      </w:r>
      <w:r>
        <w:t>1)</w:t>
      </w:r>
      <w:r w:rsidR="00145F88">
        <w:t>:</w:t>
      </w:r>
    </w:p>
    <w:p w14:paraId="5B197835" w14:textId="77777777" w:rsidR="0005261E" w:rsidRDefault="0005261E" w:rsidP="0005261E">
      <w:pPr>
        <w:pStyle w:val="Bullet"/>
      </w:pPr>
      <w:r>
        <w:t>Step 1: Site identification – identifying sites where PFAS have been manufactured, used or disposed of</w:t>
      </w:r>
    </w:p>
    <w:p w14:paraId="7B257C31" w14:textId="77777777" w:rsidR="0005261E" w:rsidRDefault="0005261E" w:rsidP="0005261E">
      <w:pPr>
        <w:pStyle w:val="Bullet"/>
      </w:pPr>
      <w:r>
        <w:t>Step 2: Preliminary site investigation – developing a conceptual site model and risk assessment based on available information</w:t>
      </w:r>
    </w:p>
    <w:p w14:paraId="681A5610" w14:textId="77777777" w:rsidR="0005261E" w:rsidRDefault="0005261E" w:rsidP="0005261E">
      <w:pPr>
        <w:pStyle w:val="Bullet"/>
      </w:pPr>
      <w:r>
        <w:t>Step 3: Detailed site investigation – investigating the actual site environment to refine the conceptual site model and risk assessment</w:t>
      </w:r>
    </w:p>
    <w:p w14:paraId="5564A42A" w14:textId="77777777" w:rsidR="0005261E" w:rsidRDefault="0005261E" w:rsidP="0005261E">
      <w:pPr>
        <w:pStyle w:val="Bullet"/>
      </w:pPr>
      <w:r>
        <w:t>Step 4: Outcome – this depends on the findings of the previous steps, and may include management and/or remediation.</w:t>
      </w:r>
    </w:p>
    <w:p w14:paraId="10FABEDF" w14:textId="77777777" w:rsidR="0005261E" w:rsidRDefault="0005261E" w:rsidP="0005261E">
      <w:pPr>
        <w:pStyle w:val="BodyText"/>
      </w:pPr>
      <w:r>
        <w:t xml:space="preserve">This guidance is consistent with the processes that landowners and councils currently use to investigate or manage contaminated land. </w:t>
      </w:r>
    </w:p>
    <w:p w14:paraId="7E791BCB" w14:textId="297BB859" w:rsidR="0005261E" w:rsidRDefault="0005261E" w:rsidP="0005261E">
      <w:pPr>
        <w:pStyle w:val="BodyText"/>
      </w:pPr>
      <w:r>
        <w:t>The efficiency and effectiveness of the process relies on accurate, comprehensive and relevant data. Decisions may involve assessing compliance with the Resource Management Act 1991 (RMA), the</w:t>
      </w:r>
      <w:r w:rsidR="00E97096">
        <w:t xml:space="preserve"> </w:t>
      </w:r>
      <w:r w:rsidR="00E97096" w:rsidRPr="00E97096">
        <w:t>National Environmental Standard for Assessing and Managing Contaminants in Soil to Protect Human Health</w:t>
      </w:r>
      <w:r>
        <w:t xml:space="preserve"> </w:t>
      </w:r>
      <w:r w:rsidR="00E97096">
        <w:t>(</w:t>
      </w:r>
      <w:r>
        <w:t>NES</w:t>
      </w:r>
      <w:r w:rsidR="00E97096">
        <w:t>)</w:t>
      </w:r>
      <w:r>
        <w:t>, and regional or district plans. Ideally, the landowner and councils would be actively engaged at each stage, the councils being recognised as the regulators of discharges, land use, resource consents</w:t>
      </w:r>
      <w:r w:rsidR="00431CB8">
        <w:t>,</w:t>
      </w:r>
      <w:r>
        <w:t xml:space="preserve"> and monitoring.</w:t>
      </w:r>
    </w:p>
    <w:p w14:paraId="072C3016" w14:textId="77777777" w:rsidR="00D83461" w:rsidRDefault="0005261E" w:rsidP="0005261E">
      <w:pPr>
        <w:pStyle w:val="BodyText"/>
      </w:pPr>
      <w:r>
        <w:t>Any investigations under this process should (and for NES purposes must) meet the Contaminated Land Management Guidelines, and be undertaken by a suitably qualified and experienced practitioner with contaminant specific experience. Ideally investigations would be made by a certified environmental practitioner with site contamination specialisation, or similar overseas certification.</w:t>
      </w:r>
    </w:p>
    <w:p w14:paraId="453D80DA" w14:textId="77777777" w:rsidR="0005261E" w:rsidRDefault="0005261E" w:rsidP="0005261E">
      <w:pPr>
        <w:pStyle w:val="BodyText"/>
      </w:pPr>
    </w:p>
    <w:p w14:paraId="63850243" w14:textId="77777777" w:rsidR="007069D8" w:rsidRDefault="007069D8">
      <w:pPr>
        <w:spacing w:before="0" w:after="200" w:line="276" w:lineRule="auto"/>
        <w:jc w:val="left"/>
      </w:pPr>
      <w:r>
        <w:br w:type="page"/>
      </w:r>
    </w:p>
    <w:p w14:paraId="00B4A0BB" w14:textId="77777777" w:rsidR="007069D8" w:rsidRDefault="007069D8" w:rsidP="007069D8">
      <w:pPr>
        <w:pStyle w:val="Figureheading"/>
      </w:pPr>
      <w:bookmarkStart w:id="6" w:name="_Toc7431902"/>
      <w:r>
        <w:lastRenderedPageBreak/>
        <w:t>Figure 1</w:t>
      </w:r>
      <w:r w:rsidR="004B6474">
        <w:t>:</w:t>
      </w:r>
      <w:r>
        <w:tab/>
      </w:r>
      <w:r w:rsidRPr="007069D8">
        <w:t>Investigation process</w:t>
      </w:r>
      <w:bookmarkEnd w:id="6"/>
    </w:p>
    <w:p w14:paraId="2C86D7FD" w14:textId="620B14BD" w:rsidR="007069D8" w:rsidRPr="00843DAF" w:rsidRDefault="008B7517" w:rsidP="007069D8">
      <w:pPr>
        <w:pStyle w:val="BodyText"/>
      </w:pPr>
      <w:r>
        <w:rPr>
          <w:noProof/>
        </w:rPr>
        <mc:AlternateContent>
          <mc:Choice Requires="wpg">
            <w:drawing>
              <wp:anchor distT="0" distB="0" distL="114300" distR="114300" simplePos="0" relativeHeight="251734016" behindDoc="0" locked="0" layoutInCell="1" allowOverlap="1" wp14:anchorId="7ED26EFE" wp14:editId="6BB035C1">
                <wp:simplePos x="0" y="0"/>
                <wp:positionH relativeFrom="column">
                  <wp:posOffset>-45085</wp:posOffset>
                </wp:positionH>
                <wp:positionV relativeFrom="paragraph">
                  <wp:posOffset>148590</wp:posOffset>
                </wp:positionV>
                <wp:extent cx="5476240" cy="5037455"/>
                <wp:effectExtent l="7620" t="8255" r="12065" b="1206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5037455"/>
                          <a:chOff x="1347" y="1768"/>
                          <a:chExt cx="8624" cy="7933"/>
                        </a:xfrm>
                      </wpg:grpSpPr>
                      <wps:wsp>
                        <wps:cNvPr id="3" name="AutoShape 20"/>
                        <wps:cNvCnPr>
                          <a:cxnSpLocks noChangeShapeType="1"/>
                        </wps:cNvCnPr>
                        <wps:spPr bwMode="auto">
                          <a:xfrm>
                            <a:off x="4599" y="4939"/>
                            <a:ext cx="0" cy="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Text Box 10"/>
                        <wps:cNvSpPr txBox="1">
                          <a:spLocks noChangeArrowheads="1"/>
                        </wps:cNvSpPr>
                        <wps:spPr bwMode="auto">
                          <a:xfrm>
                            <a:off x="4017" y="3691"/>
                            <a:ext cx="1888" cy="370"/>
                          </a:xfrm>
                          <a:prstGeom prst="rect">
                            <a:avLst/>
                          </a:prstGeom>
                          <a:solidFill>
                            <a:srgbClr val="FFFFFF"/>
                          </a:solidFill>
                          <a:ln w="9525">
                            <a:solidFill>
                              <a:schemeClr val="bg1">
                                <a:lumMod val="100000"/>
                                <a:lumOff val="0"/>
                              </a:schemeClr>
                            </a:solidFill>
                            <a:miter lim="800000"/>
                            <a:headEnd/>
                            <a:tailEnd/>
                          </a:ln>
                        </wps:spPr>
                        <wps:txbx>
                          <w:txbxContent>
                            <w:p w14:paraId="27FA9C41" w14:textId="77777777" w:rsidR="00EC5D77" w:rsidRPr="00F25966" w:rsidRDefault="00EC5D77" w:rsidP="00CB4A5C">
                              <w:pPr>
                                <w:pStyle w:val="TableText"/>
                                <w:rPr>
                                  <w:b/>
                                </w:rPr>
                              </w:pPr>
                              <w:r w:rsidRPr="00F25966">
                                <w:rPr>
                                  <w:b/>
                                </w:rPr>
                                <w:t>Potential risk identified</w:t>
                              </w:r>
                            </w:p>
                          </w:txbxContent>
                        </wps:txbx>
                        <wps:bodyPr rot="0" vert="horz" wrap="square" lIns="0" tIns="0" rIns="0" bIns="0" anchor="t" anchorCtr="0" upright="1">
                          <a:noAutofit/>
                        </wps:bodyPr>
                      </wps:wsp>
                      <wps:wsp>
                        <wps:cNvPr id="6" name="Text Box 2"/>
                        <wps:cNvSpPr txBox="1">
                          <a:spLocks noChangeArrowheads="1"/>
                        </wps:cNvSpPr>
                        <wps:spPr bwMode="auto">
                          <a:xfrm>
                            <a:off x="1356" y="2853"/>
                            <a:ext cx="1876" cy="759"/>
                          </a:xfrm>
                          <a:prstGeom prst="rect">
                            <a:avLst/>
                          </a:prstGeom>
                          <a:solidFill>
                            <a:srgbClr val="D4EEE9"/>
                          </a:solidFill>
                          <a:ln w="9525">
                            <a:solidFill>
                              <a:srgbClr val="D4EEE9"/>
                            </a:solidFill>
                            <a:miter lim="800000"/>
                            <a:headEnd/>
                            <a:tailEnd/>
                          </a:ln>
                        </wps:spPr>
                        <wps:txbx>
                          <w:txbxContent>
                            <w:p w14:paraId="07B3F024" w14:textId="77777777" w:rsidR="00EC5D77" w:rsidRPr="00F25966" w:rsidRDefault="00EC5D77" w:rsidP="007F3ADE">
                              <w:pPr>
                                <w:pStyle w:val="TableText"/>
                                <w:jc w:val="center"/>
                                <w:rPr>
                                  <w:b/>
                                </w:rPr>
                              </w:pPr>
                              <w:r w:rsidRPr="00F25966">
                                <w:rPr>
                                  <w:b/>
                                </w:rPr>
                                <w:t>Step 2: Preliminary site investigation</w:t>
                              </w:r>
                            </w:p>
                          </w:txbxContent>
                        </wps:txbx>
                        <wps:bodyPr rot="0" vert="horz" wrap="square" lIns="91440" tIns="45720" rIns="91440" bIns="45720" anchor="t" anchorCtr="0" upright="1">
                          <a:spAutoFit/>
                        </wps:bodyPr>
                      </wps:wsp>
                      <wps:wsp>
                        <wps:cNvPr id="7" name="Text Box 2"/>
                        <wps:cNvSpPr txBox="1">
                          <a:spLocks noChangeArrowheads="1"/>
                        </wps:cNvSpPr>
                        <wps:spPr bwMode="auto">
                          <a:xfrm>
                            <a:off x="3692" y="4220"/>
                            <a:ext cx="1780" cy="747"/>
                          </a:xfrm>
                          <a:prstGeom prst="rect">
                            <a:avLst/>
                          </a:prstGeom>
                          <a:solidFill>
                            <a:srgbClr val="D4EEE9"/>
                          </a:solidFill>
                          <a:ln w="9525">
                            <a:solidFill>
                              <a:srgbClr val="D4EEE9"/>
                            </a:solidFill>
                            <a:miter lim="800000"/>
                            <a:headEnd/>
                            <a:tailEnd/>
                          </a:ln>
                        </wps:spPr>
                        <wps:txbx>
                          <w:txbxContent>
                            <w:p w14:paraId="019A11C7" w14:textId="3FA348D6" w:rsidR="00EC5D77" w:rsidRPr="00A87A95" w:rsidRDefault="00EC5D77" w:rsidP="00A87A95">
                              <w:pPr>
                                <w:pStyle w:val="TableText"/>
                                <w:jc w:val="center"/>
                                <w:rPr>
                                  <w:b/>
                                </w:rPr>
                              </w:pPr>
                              <w:r w:rsidRPr="00A87A95">
                                <w:rPr>
                                  <w:b/>
                                </w:rPr>
                                <w:t>Detailed site investigation</w:t>
                              </w:r>
                            </w:p>
                          </w:txbxContent>
                        </wps:txbx>
                        <wps:bodyPr rot="0" vert="horz" wrap="square" lIns="18000" tIns="45720" rIns="18000" bIns="45720" anchor="t" anchorCtr="0" upright="1">
                          <a:noAutofit/>
                        </wps:bodyPr>
                      </wps:wsp>
                      <wps:wsp>
                        <wps:cNvPr id="8" name="Text Box 2"/>
                        <wps:cNvSpPr txBox="1">
                          <a:spLocks noChangeArrowheads="1"/>
                        </wps:cNvSpPr>
                        <wps:spPr bwMode="auto">
                          <a:xfrm>
                            <a:off x="1366" y="5571"/>
                            <a:ext cx="1876" cy="698"/>
                          </a:xfrm>
                          <a:prstGeom prst="rect">
                            <a:avLst/>
                          </a:prstGeom>
                          <a:solidFill>
                            <a:srgbClr val="A4BBC4"/>
                          </a:solidFill>
                          <a:ln w="9525">
                            <a:solidFill>
                              <a:srgbClr val="A4BBC4"/>
                            </a:solidFill>
                            <a:miter lim="800000"/>
                            <a:headEnd/>
                            <a:tailEnd/>
                          </a:ln>
                        </wps:spPr>
                        <wps:txbx>
                          <w:txbxContent>
                            <w:p w14:paraId="0CCB9989" w14:textId="77777777" w:rsidR="00EC5D77" w:rsidRPr="00F25966" w:rsidRDefault="00EC5D77" w:rsidP="006B3465">
                              <w:pPr>
                                <w:pStyle w:val="TableText"/>
                                <w:spacing w:before="120"/>
                                <w:jc w:val="center"/>
                                <w:rPr>
                                  <w:b/>
                                </w:rPr>
                              </w:pPr>
                              <w:r w:rsidRPr="00F25966">
                                <w:rPr>
                                  <w:b/>
                                </w:rPr>
                                <w:t>Step 4: Outcome</w:t>
                              </w:r>
                            </w:p>
                          </w:txbxContent>
                        </wps:txbx>
                        <wps:bodyPr rot="0" vert="horz" wrap="square" lIns="91440" tIns="45720" rIns="91440" bIns="45720" anchor="t" anchorCtr="0" upright="1">
                          <a:noAutofit/>
                        </wps:bodyPr>
                      </wps:wsp>
                      <wps:wsp>
                        <wps:cNvPr id="9" name="Text Box 2"/>
                        <wps:cNvSpPr txBox="1">
                          <a:spLocks noChangeArrowheads="1"/>
                        </wps:cNvSpPr>
                        <wps:spPr bwMode="auto">
                          <a:xfrm>
                            <a:off x="5227" y="1795"/>
                            <a:ext cx="1839" cy="691"/>
                          </a:xfrm>
                          <a:prstGeom prst="rect">
                            <a:avLst/>
                          </a:prstGeom>
                          <a:solidFill>
                            <a:srgbClr val="D4EEE9"/>
                          </a:solidFill>
                          <a:ln w="9525">
                            <a:solidFill>
                              <a:srgbClr val="D4EEE9"/>
                            </a:solidFill>
                            <a:miter lim="800000"/>
                            <a:headEnd/>
                            <a:tailEnd/>
                          </a:ln>
                        </wps:spPr>
                        <wps:txbx>
                          <w:txbxContent>
                            <w:p w14:paraId="6EDE28A3" w14:textId="77777777" w:rsidR="00EC5D77" w:rsidRPr="00F25966" w:rsidRDefault="00EC5D77" w:rsidP="006B3465">
                              <w:pPr>
                                <w:pStyle w:val="TableText"/>
                                <w:spacing w:before="120"/>
                                <w:jc w:val="center"/>
                                <w:rPr>
                                  <w:b/>
                                </w:rPr>
                              </w:pPr>
                              <w:r w:rsidRPr="00F25966">
                                <w:rPr>
                                  <w:b/>
                                </w:rPr>
                                <w:t>Site identification</w:t>
                              </w:r>
                            </w:p>
                          </w:txbxContent>
                        </wps:txbx>
                        <wps:bodyPr rot="0" vert="horz" wrap="square" lIns="91440" tIns="45720" rIns="91440" bIns="45720" anchor="t" anchorCtr="0" upright="1">
                          <a:noAutofit/>
                        </wps:bodyPr>
                      </wps:wsp>
                      <wps:wsp>
                        <wps:cNvPr id="10" name="Text Box 2"/>
                        <wps:cNvSpPr txBox="1">
                          <a:spLocks noChangeArrowheads="1"/>
                        </wps:cNvSpPr>
                        <wps:spPr bwMode="auto">
                          <a:xfrm>
                            <a:off x="5164" y="2814"/>
                            <a:ext cx="1916" cy="759"/>
                          </a:xfrm>
                          <a:prstGeom prst="rect">
                            <a:avLst/>
                          </a:prstGeom>
                          <a:solidFill>
                            <a:srgbClr val="D4EEE9"/>
                          </a:solidFill>
                          <a:ln w="9525">
                            <a:solidFill>
                              <a:srgbClr val="D4EEE9"/>
                            </a:solidFill>
                            <a:miter lim="800000"/>
                            <a:headEnd/>
                            <a:tailEnd/>
                          </a:ln>
                        </wps:spPr>
                        <wps:txbx>
                          <w:txbxContent>
                            <w:p w14:paraId="6D9F5E34" w14:textId="77777777" w:rsidR="00EC5D77" w:rsidRPr="00F25966" w:rsidRDefault="00EC5D77" w:rsidP="006B3465">
                              <w:pPr>
                                <w:pStyle w:val="TableText"/>
                                <w:jc w:val="center"/>
                                <w:rPr>
                                  <w:b/>
                                </w:rPr>
                              </w:pPr>
                              <w:r w:rsidRPr="00F25966">
                                <w:rPr>
                                  <w:b/>
                                </w:rPr>
                                <w:t>Preliminary site investigation</w:t>
                              </w:r>
                            </w:p>
                          </w:txbxContent>
                        </wps:txbx>
                        <wps:bodyPr rot="0" vert="horz" wrap="square" lIns="91440" tIns="45720" rIns="91440" bIns="45720" anchor="t" anchorCtr="0" upright="1">
                          <a:spAutoFit/>
                        </wps:bodyPr>
                      </wps:wsp>
                      <wps:wsp>
                        <wps:cNvPr id="11" name="AutoShape 8"/>
                        <wps:cNvCnPr>
                          <a:cxnSpLocks noChangeShapeType="1"/>
                        </wps:cNvCnPr>
                        <wps:spPr bwMode="auto">
                          <a:xfrm>
                            <a:off x="6140" y="2486"/>
                            <a:ext cx="0" cy="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11"/>
                        <wps:cNvSpPr txBox="1">
                          <a:spLocks noChangeArrowheads="1"/>
                        </wps:cNvSpPr>
                        <wps:spPr bwMode="auto">
                          <a:xfrm>
                            <a:off x="6660" y="3699"/>
                            <a:ext cx="1384" cy="370"/>
                          </a:xfrm>
                          <a:prstGeom prst="rect">
                            <a:avLst/>
                          </a:prstGeom>
                          <a:solidFill>
                            <a:srgbClr val="FFFFFF"/>
                          </a:solidFill>
                          <a:ln w="9525">
                            <a:solidFill>
                              <a:schemeClr val="bg1">
                                <a:lumMod val="100000"/>
                                <a:lumOff val="0"/>
                              </a:schemeClr>
                            </a:solidFill>
                            <a:miter lim="800000"/>
                            <a:headEnd/>
                            <a:tailEnd/>
                          </a:ln>
                        </wps:spPr>
                        <wps:txbx>
                          <w:txbxContent>
                            <w:p w14:paraId="401DC9C1" w14:textId="115D8DE3" w:rsidR="00EC5D77" w:rsidRPr="00F25966" w:rsidRDefault="00EC5D77" w:rsidP="00CB4A5C">
                              <w:pPr>
                                <w:pStyle w:val="TableText"/>
                                <w:rPr>
                                  <w:b/>
                                </w:rPr>
                              </w:pPr>
                              <w:r w:rsidRPr="00F25966">
                                <w:rPr>
                                  <w:b/>
                                </w:rPr>
                                <w:t>No risk identified</w:t>
                              </w:r>
                            </w:p>
                          </w:txbxContent>
                        </wps:txbx>
                        <wps:bodyPr rot="0" vert="horz" wrap="square" lIns="0" tIns="0" rIns="0" bIns="0" anchor="t" anchorCtr="0" upright="1">
                          <a:noAutofit/>
                        </wps:bodyPr>
                      </wps:wsp>
                      <wps:wsp>
                        <wps:cNvPr id="13" name="Text Box 2"/>
                        <wps:cNvSpPr txBox="1">
                          <a:spLocks noChangeArrowheads="1"/>
                        </wps:cNvSpPr>
                        <wps:spPr bwMode="auto">
                          <a:xfrm>
                            <a:off x="1347" y="4202"/>
                            <a:ext cx="1882" cy="759"/>
                          </a:xfrm>
                          <a:prstGeom prst="rect">
                            <a:avLst/>
                          </a:prstGeom>
                          <a:solidFill>
                            <a:srgbClr val="D4EEE9"/>
                          </a:solidFill>
                          <a:ln w="9525">
                            <a:solidFill>
                              <a:srgbClr val="D4EEE9"/>
                            </a:solidFill>
                            <a:miter lim="800000"/>
                            <a:headEnd/>
                            <a:tailEnd/>
                          </a:ln>
                        </wps:spPr>
                        <wps:txbx>
                          <w:txbxContent>
                            <w:p w14:paraId="7B2FE878" w14:textId="77777777" w:rsidR="00EC5D77" w:rsidRPr="00F25966" w:rsidRDefault="00EC5D77" w:rsidP="00345E1B">
                              <w:pPr>
                                <w:pStyle w:val="TableText"/>
                                <w:jc w:val="center"/>
                                <w:rPr>
                                  <w:b/>
                                </w:rPr>
                              </w:pPr>
                              <w:r w:rsidRPr="00F25966">
                                <w:rPr>
                                  <w:b/>
                                </w:rPr>
                                <w:t>Step 3: Detailed site investigation</w:t>
                              </w:r>
                            </w:p>
                          </w:txbxContent>
                        </wps:txbx>
                        <wps:bodyPr rot="0" vert="horz" wrap="square" lIns="91440" tIns="45720" rIns="91440" bIns="45720" anchor="t" anchorCtr="0" upright="1">
                          <a:spAutoFit/>
                        </wps:bodyPr>
                      </wps:wsp>
                      <wps:wsp>
                        <wps:cNvPr id="14" name="AutoShape 18"/>
                        <wps:cNvCnPr>
                          <a:cxnSpLocks noChangeShapeType="1"/>
                        </wps:cNvCnPr>
                        <wps:spPr bwMode="auto">
                          <a:xfrm>
                            <a:off x="5485" y="4547"/>
                            <a:ext cx="1423" cy="1379"/>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19"/>
                        <wps:cNvSpPr txBox="1">
                          <a:spLocks noChangeArrowheads="1"/>
                        </wps:cNvSpPr>
                        <wps:spPr bwMode="auto">
                          <a:xfrm>
                            <a:off x="3883" y="5025"/>
                            <a:ext cx="1525" cy="370"/>
                          </a:xfrm>
                          <a:prstGeom prst="rect">
                            <a:avLst/>
                          </a:prstGeom>
                          <a:solidFill>
                            <a:srgbClr val="FFFFFF"/>
                          </a:solidFill>
                          <a:ln w="9525">
                            <a:solidFill>
                              <a:schemeClr val="bg1">
                                <a:lumMod val="100000"/>
                                <a:lumOff val="0"/>
                              </a:schemeClr>
                            </a:solidFill>
                            <a:miter lim="800000"/>
                            <a:headEnd/>
                            <a:tailEnd/>
                          </a:ln>
                        </wps:spPr>
                        <wps:txbx>
                          <w:txbxContent>
                            <w:p w14:paraId="62BFB926" w14:textId="688E581D" w:rsidR="00EC5D77" w:rsidRPr="00F25966" w:rsidRDefault="00EC5D77" w:rsidP="00C24491">
                              <w:pPr>
                                <w:pStyle w:val="TableText"/>
                                <w:rPr>
                                  <w:b/>
                                </w:rPr>
                              </w:pPr>
                              <w:r w:rsidRPr="00F25966">
                                <w:rPr>
                                  <w:b/>
                                </w:rPr>
                                <w:t xml:space="preserve">High/medium risk </w:t>
                              </w:r>
                            </w:p>
                          </w:txbxContent>
                        </wps:txbx>
                        <wps:bodyPr rot="0" vert="horz" wrap="square" lIns="0" tIns="0" rIns="0" bIns="0" anchor="t" anchorCtr="0" upright="1">
                          <a:noAutofit/>
                        </wps:bodyPr>
                      </wps:wsp>
                      <wps:wsp>
                        <wps:cNvPr id="16" name="Text Box 21"/>
                        <wps:cNvSpPr txBox="1">
                          <a:spLocks noChangeArrowheads="1"/>
                        </wps:cNvSpPr>
                        <wps:spPr bwMode="auto">
                          <a:xfrm>
                            <a:off x="5972" y="5025"/>
                            <a:ext cx="923" cy="370"/>
                          </a:xfrm>
                          <a:prstGeom prst="rect">
                            <a:avLst/>
                          </a:prstGeom>
                          <a:solidFill>
                            <a:srgbClr val="FFFFFF"/>
                          </a:solidFill>
                          <a:ln w="9525">
                            <a:solidFill>
                              <a:schemeClr val="bg1">
                                <a:lumMod val="100000"/>
                                <a:lumOff val="0"/>
                              </a:schemeClr>
                            </a:solidFill>
                            <a:miter lim="800000"/>
                            <a:headEnd/>
                            <a:tailEnd/>
                          </a:ln>
                        </wps:spPr>
                        <wps:txbx>
                          <w:txbxContent>
                            <w:p w14:paraId="4E87AD02" w14:textId="558CAC9D" w:rsidR="00EC5D77" w:rsidRPr="00F25966" w:rsidRDefault="00EC5D77" w:rsidP="00047F27">
                              <w:pPr>
                                <w:pStyle w:val="TableText"/>
                                <w:rPr>
                                  <w:b/>
                                </w:rPr>
                              </w:pPr>
                              <w:r w:rsidRPr="00F25966">
                                <w:rPr>
                                  <w:b/>
                                </w:rPr>
                                <w:t xml:space="preserve">Low risk </w:t>
                              </w:r>
                            </w:p>
                          </w:txbxContent>
                        </wps:txbx>
                        <wps:bodyPr rot="0" vert="horz" wrap="square" lIns="0" tIns="0" rIns="0" bIns="0" anchor="t" anchorCtr="0" upright="1">
                          <a:noAutofit/>
                        </wps:bodyPr>
                      </wps:wsp>
                      <wps:wsp>
                        <wps:cNvPr id="17" name="AutoShape 22"/>
                        <wps:cNvCnPr>
                          <a:cxnSpLocks noChangeShapeType="1"/>
                        </wps:cNvCnPr>
                        <wps:spPr bwMode="auto">
                          <a:xfrm>
                            <a:off x="7605" y="4001"/>
                            <a:ext cx="0" cy="1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3705" y="5579"/>
                            <a:ext cx="1876" cy="698"/>
                          </a:xfrm>
                          <a:prstGeom prst="rect">
                            <a:avLst/>
                          </a:prstGeom>
                          <a:solidFill>
                            <a:srgbClr val="A4BBC4"/>
                          </a:solidFill>
                          <a:ln w="9525">
                            <a:solidFill>
                              <a:srgbClr val="A4BBC4"/>
                            </a:solidFill>
                            <a:miter lim="800000"/>
                            <a:headEnd/>
                            <a:tailEnd/>
                          </a:ln>
                        </wps:spPr>
                        <wps:txbx>
                          <w:txbxContent>
                            <w:p w14:paraId="4E4636B8" w14:textId="77777777" w:rsidR="00EC5D77" w:rsidRPr="00F25966" w:rsidRDefault="00EC5D77" w:rsidP="00047F27">
                              <w:pPr>
                                <w:pStyle w:val="TableText"/>
                                <w:spacing w:before="0"/>
                                <w:jc w:val="center"/>
                                <w:rPr>
                                  <w:b/>
                                </w:rPr>
                              </w:pPr>
                              <w:r w:rsidRPr="00F25966">
                                <w:rPr>
                                  <w:b/>
                                </w:rPr>
                                <w:t>Assessment of remedial options</w:t>
                              </w:r>
                            </w:p>
                          </w:txbxContent>
                        </wps:txbx>
                        <wps:bodyPr rot="0" vert="horz" wrap="square" lIns="91440" tIns="45720" rIns="91440" bIns="45720" anchor="t" anchorCtr="0" upright="1">
                          <a:noAutofit/>
                        </wps:bodyPr>
                      </wps:wsp>
                      <wps:wsp>
                        <wps:cNvPr id="19" name="Text Box 2"/>
                        <wps:cNvSpPr txBox="1">
                          <a:spLocks noChangeArrowheads="1"/>
                        </wps:cNvSpPr>
                        <wps:spPr bwMode="auto">
                          <a:xfrm>
                            <a:off x="6908" y="5591"/>
                            <a:ext cx="1149" cy="688"/>
                          </a:xfrm>
                          <a:prstGeom prst="rect">
                            <a:avLst/>
                          </a:prstGeom>
                          <a:solidFill>
                            <a:srgbClr val="A4BBC4"/>
                          </a:solidFill>
                          <a:ln w="9525">
                            <a:solidFill>
                              <a:srgbClr val="A4BBC4"/>
                            </a:solidFill>
                            <a:miter lim="800000"/>
                            <a:headEnd/>
                            <a:tailEnd/>
                          </a:ln>
                        </wps:spPr>
                        <wps:txbx>
                          <w:txbxContent>
                            <w:p w14:paraId="15918ECF" w14:textId="77777777" w:rsidR="00EC5D77" w:rsidRPr="00F25966" w:rsidRDefault="00EC5D77" w:rsidP="00BB745F">
                              <w:pPr>
                                <w:pStyle w:val="TableText"/>
                                <w:spacing w:before="20"/>
                                <w:jc w:val="center"/>
                                <w:rPr>
                                  <w:b/>
                                </w:rPr>
                              </w:pPr>
                              <w:r w:rsidRPr="00F25966">
                                <w:rPr>
                                  <w:b/>
                                </w:rPr>
                                <w:t>No further action</w:t>
                              </w:r>
                            </w:p>
                          </w:txbxContent>
                        </wps:txbx>
                        <wps:bodyPr rot="0" vert="horz" wrap="square" lIns="18000" tIns="45720" rIns="18000" bIns="45720" anchor="t" anchorCtr="0" upright="1">
                          <a:noAutofit/>
                        </wps:bodyPr>
                      </wps:wsp>
                      <wps:wsp>
                        <wps:cNvPr id="20" name="AutoShape 25"/>
                        <wps:cNvCnPr>
                          <a:cxnSpLocks noChangeShapeType="1"/>
                        </wps:cNvCnPr>
                        <wps:spPr bwMode="auto">
                          <a:xfrm flipH="1">
                            <a:off x="3573" y="6277"/>
                            <a:ext cx="717" cy="1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6"/>
                        <wps:cNvCnPr>
                          <a:cxnSpLocks noChangeShapeType="1"/>
                        </wps:cNvCnPr>
                        <wps:spPr bwMode="auto">
                          <a:xfrm>
                            <a:off x="4833" y="6277"/>
                            <a:ext cx="652" cy="1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27"/>
                        <wps:cNvSpPr txBox="1">
                          <a:spLocks noChangeArrowheads="1"/>
                        </wps:cNvSpPr>
                        <wps:spPr bwMode="auto">
                          <a:xfrm>
                            <a:off x="3264" y="6766"/>
                            <a:ext cx="1026" cy="370"/>
                          </a:xfrm>
                          <a:prstGeom prst="rect">
                            <a:avLst/>
                          </a:prstGeom>
                          <a:solidFill>
                            <a:srgbClr val="FFFFFF"/>
                          </a:solidFill>
                          <a:ln w="9525">
                            <a:solidFill>
                              <a:schemeClr val="bg1">
                                <a:lumMod val="100000"/>
                                <a:lumOff val="0"/>
                              </a:schemeClr>
                            </a:solidFill>
                            <a:miter lim="800000"/>
                            <a:headEnd/>
                            <a:tailEnd/>
                          </a:ln>
                        </wps:spPr>
                        <wps:txbx>
                          <w:txbxContent>
                            <w:p w14:paraId="5403FA76" w14:textId="49F867D2" w:rsidR="00EC5D77" w:rsidRPr="00F25966" w:rsidRDefault="00EC5D77" w:rsidP="004418D7">
                              <w:pPr>
                                <w:pStyle w:val="TableText"/>
                                <w:rPr>
                                  <w:b/>
                                </w:rPr>
                              </w:pPr>
                              <w:r w:rsidRPr="00F25966">
                                <w:rPr>
                                  <w:b/>
                                </w:rPr>
                                <w:t>Remediation</w:t>
                              </w:r>
                            </w:p>
                          </w:txbxContent>
                        </wps:txbx>
                        <wps:bodyPr rot="0" vert="horz" wrap="square" lIns="0" tIns="0" rIns="0" bIns="0" anchor="t" anchorCtr="0" upright="1">
                          <a:noAutofit/>
                        </wps:bodyPr>
                      </wps:wsp>
                      <wps:wsp>
                        <wps:cNvPr id="23" name="Text Box 28"/>
                        <wps:cNvSpPr txBox="1">
                          <a:spLocks noChangeArrowheads="1"/>
                        </wps:cNvSpPr>
                        <wps:spPr bwMode="auto">
                          <a:xfrm>
                            <a:off x="4695" y="6766"/>
                            <a:ext cx="1026" cy="370"/>
                          </a:xfrm>
                          <a:prstGeom prst="rect">
                            <a:avLst/>
                          </a:prstGeom>
                          <a:solidFill>
                            <a:srgbClr val="FFFFFF"/>
                          </a:solidFill>
                          <a:ln w="9525">
                            <a:solidFill>
                              <a:schemeClr val="bg1">
                                <a:lumMod val="100000"/>
                                <a:lumOff val="0"/>
                              </a:schemeClr>
                            </a:solidFill>
                            <a:miter lim="800000"/>
                            <a:headEnd/>
                            <a:tailEnd/>
                          </a:ln>
                        </wps:spPr>
                        <wps:txbx>
                          <w:txbxContent>
                            <w:p w14:paraId="1C1D5D60" w14:textId="0E982616" w:rsidR="00EC5D77" w:rsidRPr="00F25966" w:rsidRDefault="00EC5D77" w:rsidP="004418D7">
                              <w:pPr>
                                <w:pStyle w:val="TableText"/>
                                <w:rPr>
                                  <w:b/>
                                </w:rPr>
                              </w:pPr>
                              <w:r w:rsidRPr="00F25966">
                                <w:rPr>
                                  <w:b/>
                                </w:rPr>
                                <w:t>Management</w:t>
                              </w:r>
                            </w:p>
                          </w:txbxContent>
                        </wps:txbx>
                        <wps:bodyPr rot="0" vert="horz" wrap="square" lIns="0" tIns="0" rIns="0" bIns="0" anchor="t" anchorCtr="0" upright="1">
                          <a:noAutofit/>
                        </wps:bodyPr>
                      </wps:wsp>
                      <wps:wsp>
                        <wps:cNvPr id="24" name="Text Box 2"/>
                        <wps:cNvSpPr txBox="1">
                          <a:spLocks noChangeArrowheads="1"/>
                        </wps:cNvSpPr>
                        <wps:spPr bwMode="auto">
                          <a:xfrm>
                            <a:off x="2543" y="7530"/>
                            <a:ext cx="1876" cy="897"/>
                          </a:xfrm>
                          <a:prstGeom prst="rect">
                            <a:avLst/>
                          </a:prstGeom>
                          <a:solidFill>
                            <a:srgbClr val="A4BBC4"/>
                          </a:solidFill>
                          <a:ln w="9525">
                            <a:solidFill>
                              <a:srgbClr val="A4BBC4"/>
                            </a:solidFill>
                            <a:miter lim="800000"/>
                            <a:headEnd/>
                            <a:tailEnd/>
                          </a:ln>
                        </wps:spPr>
                        <wps:txbx>
                          <w:txbxContent>
                            <w:p w14:paraId="29D373FF" w14:textId="06EE8243" w:rsidR="00EC5D77" w:rsidRPr="00F25966" w:rsidRDefault="00EC5D77" w:rsidP="0074057D">
                              <w:pPr>
                                <w:pStyle w:val="TableText"/>
                                <w:spacing w:before="200" w:line="180" w:lineRule="atLeast"/>
                                <w:jc w:val="center"/>
                                <w:rPr>
                                  <w:b/>
                                </w:rPr>
                              </w:pPr>
                              <w:r w:rsidRPr="00F25966">
                                <w:rPr>
                                  <w:b/>
                                </w:rPr>
                                <w:t>Remedial action plan</w:t>
                              </w:r>
                            </w:p>
                          </w:txbxContent>
                        </wps:txbx>
                        <wps:bodyPr rot="0" vert="horz" wrap="square" lIns="91440" tIns="45720" rIns="91440" bIns="45720" anchor="t" anchorCtr="0" upright="1">
                          <a:noAutofit/>
                        </wps:bodyPr>
                      </wps:wsp>
                      <wps:wsp>
                        <wps:cNvPr id="25" name="Text Box 2"/>
                        <wps:cNvSpPr txBox="1">
                          <a:spLocks noChangeArrowheads="1"/>
                        </wps:cNvSpPr>
                        <wps:spPr bwMode="auto">
                          <a:xfrm>
                            <a:off x="5032" y="7530"/>
                            <a:ext cx="2300" cy="897"/>
                          </a:xfrm>
                          <a:prstGeom prst="rect">
                            <a:avLst/>
                          </a:prstGeom>
                          <a:solidFill>
                            <a:srgbClr val="A4BBC4"/>
                          </a:solidFill>
                          <a:ln w="9525">
                            <a:solidFill>
                              <a:srgbClr val="A4BBC4"/>
                            </a:solidFill>
                            <a:miter lim="800000"/>
                            <a:headEnd/>
                            <a:tailEnd/>
                          </a:ln>
                        </wps:spPr>
                        <wps:txbx>
                          <w:txbxContent>
                            <w:p w14:paraId="59A77225" w14:textId="78A48A4A" w:rsidR="00EC5D77" w:rsidRPr="00F25966" w:rsidRDefault="00EC5D77" w:rsidP="00B66FB8">
                              <w:pPr>
                                <w:pStyle w:val="TableText"/>
                                <w:spacing w:before="0"/>
                                <w:jc w:val="center"/>
                                <w:rPr>
                                  <w:b/>
                                </w:rPr>
                              </w:pPr>
                              <w:r w:rsidRPr="00F25966">
                                <w:rPr>
                                  <w:b/>
                                </w:rPr>
                                <w:t>Ongoing site management plan in accordance with the regional plan</w:t>
                              </w:r>
                            </w:p>
                          </w:txbxContent>
                        </wps:txbx>
                        <wps:bodyPr rot="0" vert="horz" wrap="square" lIns="91440" tIns="45720" rIns="91440" bIns="45720" anchor="t" anchorCtr="0" upright="1">
                          <a:noAutofit/>
                        </wps:bodyPr>
                      </wps:wsp>
                      <wps:wsp>
                        <wps:cNvPr id="26" name="AutoShape 31"/>
                        <wps:cNvCnPr>
                          <a:cxnSpLocks noChangeShapeType="1"/>
                        </wps:cNvCnPr>
                        <wps:spPr bwMode="auto">
                          <a:xfrm>
                            <a:off x="3491" y="8427"/>
                            <a:ext cx="0" cy="5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2"/>
                        <wps:cNvSpPr txBox="1">
                          <a:spLocks noChangeArrowheads="1"/>
                        </wps:cNvSpPr>
                        <wps:spPr bwMode="auto">
                          <a:xfrm>
                            <a:off x="2541" y="8980"/>
                            <a:ext cx="1967" cy="698"/>
                          </a:xfrm>
                          <a:prstGeom prst="rect">
                            <a:avLst/>
                          </a:prstGeom>
                          <a:solidFill>
                            <a:srgbClr val="A4BBC4"/>
                          </a:solidFill>
                          <a:ln w="9525">
                            <a:solidFill>
                              <a:srgbClr val="A4BBC4"/>
                            </a:solidFill>
                            <a:miter lim="800000"/>
                            <a:headEnd/>
                            <a:tailEnd/>
                          </a:ln>
                        </wps:spPr>
                        <wps:txbx>
                          <w:txbxContent>
                            <w:p w14:paraId="4E5BFAB4" w14:textId="29F2A32E" w:rsidR="00EC5D77" w:rsidRPr="00F25966" w:rsidRDefault="00EC5D77" w:rsidP="00FA596A">
                              <w:pPr>
                                <w:pStyle w:val="TableText"/>
                                <w:spacing w:before="120"/>
                                <w:jc w:val="center"/>
                                <w:rPr>
                                  <w:b/>
                                </w:rPr>
                              </w:pPr>
                              <w:r w:rsidRPr="00F25966">
                                <w:rPr>
                                  <w:b/>
                                </w:rPr>
                                <w:t>Site validation report</w:t>
                              </w:r>
                            </w:p>
                          </w:txbxContent>
                        </wps:txbx>
                        <wps:bodyPr rot="0" vert="horz" wrap="square" lIns="91440" tIns="45720" rIns="91440" bIns="45720" anchor="t" anchorCtr="0" upright="1">
                          <a:noAutofit/>
                        </wps:bodyPr>
                      </wps:wsp>
                      <wps:wsp>
                        <wps:cNvPr id="28" name="AutoShape 33"/>
                        <wps:cNvSpPr>
                          <a:spLocks/>
                        </wps:cNvSpPr>
                        <wps:spPr bwMode="auto">
                          <a:xfrm>
                            <a:off x="8143" y="1768"/>
                            <a:ext cx="516" cy="7933"/>
                          </a:xfrm>
                          <a:prstGeom prst="rightBrace">
                            <a:avLst>
                              <a:gd name="adj1" fmla="val 12811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4"/>
                        <wps:cNvCnPr>
                          <a:cxnSpLocks noChangeShapeType="1"/>
                        </wps:cNvCnPr>
                        <wps:spPr bwMode="auto">
                          <a:xfrm>
                            <a:off x="4419" y="7979"/>
                            <a:ext cx="61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 name="Text Box 35"/>
                        <wps:cNvSpPr txBox="1">
                          <a:spLocks noChangeArrowheads="1"/>
                        </wps:cNvSpPr>
                        <wps:spPr bwMode="auto">
                          <a:xfrm>
                            <a:off x="8772" y="5395"/>
                            <a:ext cx="1199" cy="907"/>
                          </a:xfrm>
                          <a:prstGeom prst="rect">
                            <a:avLst/>
                          </a:prstGeom>
                          <a:solidFill>
                            <a:srgbClr val="FFFFFF"/>
                          </a:solidFill>
                          <a:ln w="9525">
                            <a:solidFill>
                              <a:schemeClr val="bg1">
                                <a:lumMod val="100000"/>
                                <a:lumOff val="0"/>
                              </a:schemeClr>
                            </a:solidFill>
                            <a:miter lim="800000"/>
                            <a:headEnd/>
                            <a:tailEnd/>
                          </a:ln>
                        </wps:spPr>
                        <wps:txbx>
                          <w:txbxContent>
                            <w:p w14:paraId="383E3053" w14:textId="038B6935" w:rsidR="00EC5D77" w:rsidRPr="00771B7B" w:rsidRDefault="00EC5D77" w:rsidP="00771B7B">
                              <w:pPr>
                                <w:pStyle w:val="TableText"/>
                                <w:jc w:val="center"/>
                                <w:rPr>
                                  <w:b/>
                                  <w:sz w:val="22"/>
                                </w:rPr>
                              </w:pPr>
                              <w:r w:rsidRPr="00771B7B">
                                <w:rPr>
                                  <w:b/>
                                  <w:sz w:val="22"/>
                                </w:rPr>
                                <w:t>Council engagement</w:t>
                              </w:r>
                            </w:p>
                          </w:txbxContent>
                        </wps:txbx>
                        <wps:bodyPr rot="0" vert="horz" wrap="square" lIns="0" tIns="0" rIns="0" bIns="0" anchor="t" anchorCtr="0" upright="1">
                          <a:noAutofit/>
                        </wps:bodyPr>
                      </wps:wsp>
                      <wps:wsp>
                        <wps:cNvPr id="31" name="Text Box 2"/>
                        <wps:cNvSpPr txBox="1">
                          <a:spLocks noChangeArrowheads="1"/>
                        </wps:cNvSpPr>
                        <wps:spPr bwMode="auto">
                          <a:xfrm>
                            <a:off x="1379" y="1786"/>
                            <a:ext cx="1876" cy="759"/>
                          </a:xfrm>
                          <a:prstGeom prst="rect">
                            <a:avLst/>
                          </a:prstGeom>
                          <a:solidFill>
                            <a:srgbClr val="D4EEE9"/>
                          </a:solidFill>
                          <a:ln w="9525">
                            <a:solidFill>
                              <a:srgbClr val="D4EEE9"/>
                            </a:solidFill>
                            <a:miter lim="800000"/>
                            <a:headEnd/>
                            <a:tailEnd/>
                          </a:ln>
                        </wps:spPr>
                        <wps:txbx>
                          <w:txbxContent>
                            <w:p w14:paraId="66ECCF97" w14:textId="17A720B2" w:rsidR="00EC5D77" w:rsidRPr="00F25966" w:rsidRDefault="00EC5D77" w:rsidP="00A87A95">
                              <w:pPr>
                                <w:pStyle w:val="TableText"/>
                                <w:jc w:val="center"/>
                                <w:rPr>
                                  <w:b/>
                                </w:rPr>
                              </w:pPr>
                              <w:r w:rsidRPr="00A87A95">
                                <w:rPr>
                                  <w:b/>
                                </w:rPr>
                                <w:t>Step 1: Site identification</w:t>
                              </w:r>
                            </w:p>
                          </w:txbxContent>
                        </wps:txbx>
                        <wps:bodyPr rot="0" vert="horz" wrap="square" lIns="91440" tIns="45720" rIns="91440" bIns="45720" anchor="t" anchorCtr="0" upright="1">
                          <a:spAutoFit/>
                        </wps:bodyPr>
                      </wps:wsp>
                      <wps:wsp>
                        <wps:cNvPr id="32" name="AutoShape 16"/>
                        <wps:cNvCnPr>
                          <a:cxnSpLocks noChangeShapeType="1"/>
                        </wps:cNvCnPr>
                        <wps:spPr bwMode="auto">
                          <a:xfrm>
                            <a:off x="4598" y="3989"/>
                            <a:ext cx="1" cy="2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3" name="Group 42"/>
                        <wpg:cNvGrpSpPr>
                          <a:grpSpLocks/>
                        </wpg:cNvGrpSpPr>
                        <wpg:grpSpPr bwMode="auto">
                          <a:xfrm>
                            <a:off x="5850" y="3582"/>
                            <a:ext cx="776" cy="326"/>
                            <a:chOff x="5850" y="3582"/>
                            <a:chExt cx="776" cy="326"/>
                          </a:xfrm>
                        </wpg:grpSpPr>
                        <wps:wsp>
                          <wps:cNvPr id="34" name="AutoShape 9"/>
                          <wps:cNvCnPr>
                            <a:cxnSpLocks noChangeShapeType="1"/>
                          </wps:cNvCnPr>
                          <wps:spPr bwMode="auto">
                            <a:xfrm>
                              <a:off x="6240" y="3582"/>
                              <a:ext cx="0" cy="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2"/>
                          <wps:cNvCnPr>
                            <a:cxnSpLocks noChangeShapeType="1"/>
                          </wps:cNvCnPr>
                          <wps:spPr bwMode="auto">
                            <a:xfrm>
                              <a:off x="6236" y="3908"/>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41"/>
                          <wps:cNvCnPr>
                            <a:cxnSpLocks noChangeShapeType="1"/>
                          </wps:cNvCnPr>
                          <wps:spPr bwMode="auto">
                            <a:xfrm>
                              <a:off x="5850" y="3907"/>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ED26EFE" id="Group 43" o:spid="_x0000_s1026" style="position:absolute;margin-left:-3.55pt;margin-top:11.7pt;width:431.2pt;height:396.65pt;z-index:251734016" coordorigin="1347,1768" coordsize="8624,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">
                <v:shapetype id="_x0000_t32" coordsize="21600,21600" o:spt="32" o:oned="t" path="m,l21600,21600e" filled="f">
                  <v:path arrowok="t" fillok="f" o:connecttype="none"/>
                  <o:lock v:ext="edit" shapetype="t"/>
                </v:shapetype>
                <v:shape id="AutoShape 20" o:spid="_x0000_s1027" type="#_x0000_t32" style="position:absolute;left:4599;top:4939;width:0;height:6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202" coordsize="21600,21600" o:spt="202" path="m,l,21600r21600,l21600,xe">
                  <v:stroke joinstyle="miter"/>
                  <v:path gradientshapeok="t" o:connecttype="rect"/>
                </v:shapetype>
                <v:shape id="Text Box 10" o:spid="_x0000_s1028" type="#_x0000_t202" style="position:absolute;left:4017;top:3691;width:1888;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" strokecolor="white [3212]">
                  <v:textbox inset="0,0,0,0">
                    <w:txbxContent>
                      <w:p w14:paraId="27FA9C41" w14:textId="77777777" w:rsidR="00EC5D77" w:rsidRPr="00F25966" w:rsidRDefault="00EC5D77" w:rsidP="00CB4A5C">
                        <w:pPr>
                          <w:pStyle w:val="TableText"/>
                          <w:rPr>
                            <w:b/>
                          </w:rPr>
                        </w:pPr>
                        <w:r w:rsidRPr="00F25966">
                          <w:rPr>
                            <w:b/>
                          </w:rPr>
                          <w:t>Potential risk identified</w:t>
                        </w:r>
                      </w:p>
                    </w:txbxContent>
                  </v:textbox>
                </v:shape>
                <v:shape id="Text Box 2" o:spid="_x0000_s1029" type="#_x0000_t202" style="position:absolute;left:1356;top:2853;width:1876;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" fillcolor="#d4eee9" strokecolor="#d4eee9">
                  <v:textbox style="mso-fit-shape-to-text:t">
                    <w:txbxContent>
                      <w:p w14:paraId="07B3F024" w14:textId="77777777" w:rsidR="00EC5D77" w:rsidRPr="00F25966" w:rsidRDefault="00EC5D77" w:rsidP="007F3ADE">
                        <w:pPr>
                          <w:pStyle w:val="TableText"/>
                          <w:jc w:val="center"/>
                          <w:rPr>
                            <w:b/>
                          </w:rPr>
                        </w:pPr>
                        <w:r w:rsidRPr="00F25966">
                          <w:rPr>
                            <w:b/>
                          </w:rPr>
                          <w:t>Step 2: Preliminary site investigation</w:t>
                        </w:r>
                      </w:p>
                    </w:txbxContent>
                  </v:textbox>
                </v:shape>
                <v:shape id="Text Box 2" o:spid="_x0000_s1030" type="#_x0000_t202" style="position:absolute;left:3692;top:4220;width:1780;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" fillcolor="#d4eee9" strokecolor="#d4eee9">
                  <v:textbox inset=".5mm,,.5mm">
                    <w:txbxContent>
                      <w:p w14:paraId="019A11C7" w14:textId="3FA348D6" w:rsidR="00EC5D77" w:rsidRPr="00A87A95" w:rsidRDefault="00EC5D77" w:rsidP="00A87A95">
                        <w:pPr>
                          <w:pStyle w:val="TableText"/>
                          <w:jc w:val="center"/>
                          <w:rPr>
                            <w:b/>
                          </w:rPr>
                        </w:pPr>
                        <w:r w:rsidRPr="00A87A95">
                          <w:rPr>
                            <w:b/>
                          </w:rPr>
                          <w:t>Detailed site investigation</w:t>
                        </w:r>
                      </w:p>
                    </w:txbxContent>
                  </v:textbox>
                </v:shape>
                <v:shape id="Text Box 2" o:spid="_x0000_s1031" type="#_x0000_t202" style="position:absolute;left:1366;top:5571;width:187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" fillcolor="#a4bbc4" strokecolor="#a4bbc4">
                  <v:textbox>
                    <w:txbxContent>
                      <w:p w14:paraId="0CCB9989" w14:textId="77777777" w:rsidR="00EC5D77" w:rsidRPr="00F25966" w:rsidRDefault="00EC5D77" w:rsidP="006B3465">
                        <w:pPr>
                          <w:pStyle w:val="TableText"/>
                          <w:spacing w:before="120"/>
                          <w:jc w:val="center"/>
                          <w:rPr>
                            <w:b/>
                          </w:rPr>
                        </w:pPr>
                        <w:r w:rsidRPr="00F25966">
                          <w:rPr>
                            <w:b/>
                          </w:rPr>
                          <w:t>Step 4: Outcome</w:t>
                        </w:r>
                      </w:p>
                    </w:txbxContent>
                  </v:textbox>
                </v:shape>
                <v:shape id="Text Box 2" o:spid="_x0000_s1032" type="#_x0000_t202" style="position:absolute;left:5227;top:1795;width:1839;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" fillcolor="#d4eee9" strokecolor="#d4eee9">
                  <v:textbox>
                    <w:txbxContent>
                      <w:p w14:paraId="6EDE28A3" w14:textId="77777777" w:rsidR="00EC5D77" w:rsidRPr="00F25966" w:rsidRDefault="00EC5D77" w:rsidP="006B3465">
                        <w:pPr>
                          <w:pStyle w:val="TableText"/>
                          <w:spacing w:before="120"/>
                          <w:jc w:val="center"/>
                          <w:rPr>
                            <w:b/>
                          </w:rPr>
                        </w:pPr>
                        <w:r w:rsidRPr="00F25966">
                          <w:rPr>
                            <w:b/>
                          </w:rPr>
                          <w:t>Site identification</w:t>
                        </w:r>
                      </w:p>
                    </w:txbxContent>
                  </v:textbox>
                </v:shape>
                <v:shape id="Text Box 2" o:spid="_x0000_s1033" type="#_x0000_t202" style="position:absolute;left:5164;top:2814;width:1916;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" fillcolor="#d4eee9" strokecolor="#d4eee9">
                  <v:textbox style="mso-fit-shape-to-text:t">
                    <w:txbxContent>
                      <w:p w14:paraId="6D9F5E34" w14:textId="77777777" w:rsidR="00EC5D77" w:rsidRPr="00F25966" w:rsidRDefault="00EC5D77" w:rsidP="006B3465">
                        <w:pPr>
                          <w:pStyle w:val="TableText"/>
                          <w:jc w:val="center"/>
                          <w:rPr>
                            <w:b/>
                          </w:rPr>
                        </w:pPr>
                        <w:r w:rsidRPr="00F25966">
                          <w:rPr>
                            <w:b/>
                          </w:rPr>
                          <w:t>Preliminary site investigation</w:t>
                        </w:r>
                      </w:p>
                    </w:txbxContent>
                  </v:textbox>
                </v:shape>
                <v:shape id="AutoShape 8" o:spid="_x0000_s1034" type="#_x0000_t32" style="position:absolute;left:6140;top:2486;width:0;height: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Text Box 11" o:spid="_x0000_s1035" type="#_x0000_t202" style="position:absolute;left:6660;top:3699;width:1384;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" strokecolor="white [3212]">
                  <v:textbox inset="0,0,0,0">
                    <w:txbxContent>
                      <w:p w14:paraId="401DC9C1" w14:textId="115D8DE3" w:rsidR="00EC5D77" w:rsidRPr="00F25966" w:rsidRDefault="00EC5D77" w:rsidP="00CB4A5C">
                        <w:pPr>
                          <w:pStyle w:val="TableText"/>
                          <w:rPr>
                            <w:b/>
                          </w:rPr>
                        </w:pPr>
                        <w:r w:rsidRPr="00F25966">
                          <w:rPr>
                            <w:b/>
                          </w:rPr>
                          <w:t>No risk identified</w:t>
                        </w:r>
                      </w:p>
                    </w:txbxContent>
                  </v:textbox>
                </v:shape>
                <v:shape id="Text Box 2" o:spid="_x0000_s1036" type="#_x0000_t202" style="position:absolute;left:1347;top:4202;width:1882;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" fillcolor="#d4eee9" strokecolor="#d4eee9">
                  <v:textbox style="mso-fit-shape-to-text:t">
                    <w:txbxContent>
                      <w:p w14:paraId="7B2FE878" w14:textId="77777777" w:rsidR="00EC5D77" w:rsidRPr="00F25966" w:rsidRDefault="00EC5D77" w:rsidP="00345E1B">
                        <w:pPr>
                          <w:pStyle w:val="TableText"/>
                          <w:jc w:val="center"/>
                          <w:rPr>
                            <w:b/>
                          </w:rPr>
                        </w:pPr>
                        <w:r w:rsidRPr="00F25966">
                          <w:rPr>
                            <w:b/>
                          </w:rPr>
                          <w:t>Step 3: Detailed site investigation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37" type="#_x0000_t34" style="position:absolute;left:5485;top:4547;width:1423;height:13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" adj="10792">
                  <v:stroke endarrow="block"/>
                </v:shape>
                <v:shape id="Text Box 19" o:spid="_x0000_s1038" type="#_x0000_t202" style="position:absolute;left:3883;top:5025;width:1525;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" strokecolor="white [3212]">
                  <v:textbox inset="0,0,0,0">
                    <w:txbxContent>
                      <w:p w14:paraId="62BFB926" w14:textId="688E581D" w:rsidR="00EC5D77" w:rsidRPr="00F25966" w:rsidRDefault="00EC5D77" w:rsidP="00C24491">
                        <w:pPr>
                          <w:pStyle w:val="TableText"/>
                          <w:rPr>
                            <w:b/>
                          </w:rPr>
                        </w:pPr>
                        <w:r w:rsidRPr="00F25966">
                          <w:rPr>
                            <w:b/>
                          </w:rPr>
                          <w:t xml:space="preserve">High/medium risk </w:t>
                        </w:r>
                      </w:p>
                    </w:txbxContent>
                  </v:textbox>
                </v:shape>
                <v:shape id="Text Box 21" o:spid="_x0000_s1039" type="#_x0000_t202" style="position:absolute;left:5972;top:5025;width:923;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" strokecolor="white [3212]">
                  <v:textbox inset="0,0,0,0">
                    <w:txbxContent>
                      <w:p w14:paraId="4E87AD02" w14:textId="558CAC9D" w:rsidR="00EC5D77" w:rsidRPr="00F25966" w:rsidRDefault="00EC5D77" w:rsidP="00047F27">
                        <w:pPr>
                          <w:pStyle w:val="TableText"/>
                          <w:rPr>
                            <w:b/>
                          </w:rPr>
                        </w:pPr>
                        <w:r w:rsidRPr="00F25966">
                          <w:rPr>
                            <w:b/>
                          </w:rPr>
                          <w:t xml:space="preserve">Low risk </w:t>
                        </w:r>
                      </w:p>
                    </w:txbxContent>
                  </v:textbox>
                </v:shape>
                <v:shape id="AutoShape 22" o:spid="_x0000_s1040" type="#_x0000_t32" style="position:absolute;left:7605;top:4001;width:0;height:1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2" o:spid="_x0000_s1041" type="#_x0000_t202" style="position:absolute;left:3705;top:5579;width:1876;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" fillcolor="#a4bbc4" strokecolor="#a4bbc4">
                  <v:textbox>
                    <w:txbxContent>
                      <w:p w14:paraId="4E4636B8" w14:textId="77777777" w:rsidR="00EC5D77" w:rsidRPr="00F25966" w:rsidRDefault="00EC5D77" w:rsidP="00047F27">
                        <w:pPr>
                          <w:pStyle w:val="TableText"/>
                          <w:spacing w:before="0"/>
                          <w:jc w:val="center"/>
                          <w:rPr>
                            <w:b/>
                          </w:rPr>
                        </w:pPr>
                        <w:r w:rsidRPr="00F25966">
                          <w:rPr>
                            <w:b/>
                          </w:rPr>
                          <w:t>Assessment of remedial options</w:t>
                        </w:r>
                      </w:p>
                    </w:txbxContent>
                  </v:textbox>
                </v:shape>
                <v:shape id="Text Box 2" o:spid="_x0000_s1042" type="#_x0000_t202" style="position:absolute;left:6908;top:5591;width:1149;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" fillcolor="#a4bbc4" strokecolor="#a4bbc4">
                  <v:textbox inset=".5mm,,.5mm">
                    <w:txbxContent>
                      <w:p w14:paraId="15918ECF" w14:textId="77777777" w:rsidR="00EC5D77" w:rsidRPr="00F25966" w:rsidRDefault="00EC5D77" w:rsidP="00BB745F">
                        <w:pPr>
                          <w:pStyle w:val="TableText"/>
                          <w:spacing w:before="20"/>
                          <w:jc w:val="center"/>
                          <w:rPr>
                            <w:b/>
                          </w:rPr>
                        </w:pPr>
                        <w:r w:rsidRPr="00F25966">
                          <w:rPr>
                            <w:b/>
                          </w:rPr>
                          <w:t>No further action</w:t>
                        </w:r>
                      </w:p>
                    </w:txbxContent>
                  </v:textbox>
                </v:shape>
                <v:shape id="AutoShape 25" o:spid="_x0000_s1043" type="#_x0000_t32" style="position:absolute;left:3573;top:6277;width:717;height:1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26" o:spid="_x0000_s1044" type="#_x0000_t32" style="position:absolute;left:4833;top:6277;width:652;height:1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Text Box 27" o:spid="_x0000_s1045" type="#_x0000_t202" style="position:absolute;left:3264;top:6766;width:102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" strokecolor="white [3212]">
                  <v:textbox inset="0,0,0,0">
                    <w:txbxContent>
                      <w:p w14:paraId="5403FA76" w14:textId="49F867D2" w:rsidR="00EC5D77" w:rsidRPr="00F25966" w:rsidRDefault="00EC5D77" w:rsidP="004418D7">
                        <w:pPr>
                          <w:pStyle w:val="TableText"/>
                          <w:rPr>
                            <w:b/>
                          </w:rPr>
                        </w:pPr>
                        <w:r w:rsidRPr="00F25966">
                          <w:rPr>
                            <w:b/>
                          </w:rPr>
                          <w:t>Remediation</w:t>
                        </w:r>
                      </w:p>
                    </w:txbxContent>
                  </v:textbox>
                </v:shape>
                <v:shape id="Text Box 28" o:spid="_x0000_s1046" type="#_x0000_t202" style="position:absolute;left:4695;top:6766;width:1026;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" strokecolor="white [3212]">
                  <v:textbox inset="0,0,0,0">
                    <w:txbxContent>
                      <w:p w14:paraId="1C1D5D60" w14:textId="0E982616" w:rsidR="00EC5D77" w:rsidRPr="00F25966" w:rsidRDefault="00EC5D77" w:rsidP="004418D7">
                        <w:pPr>
                          <w:pStyle w:val="TableText"/>
                          <w:rPr>
                            <w:b/>
                          </w:rPr>
                        </w:pPr>
                        <w:r w:rsidRPr="00F25966">
                          <w:rPr>
                            <w:b/>
                          </w:rPr>
                          <w:t>Management</w:t>
                        </w:r>
                      </w:p>
                    </w:txbxContent>
                  </v:textbox>
                </v:shape>
                <v:shape id="Text Box 2" o:spid="_x0000_s1047" type="#_x0000_t202" style="position:absolute;left:2543;top:7530;width:1876;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" fillcolor="#a4bbc4" strokecolor="#a4bbc4">
                  <v:textbox>
                    <w:txbxContent>
                      <w:p w14:paraId="29D373FF" w14:textId="06EE8243" w:rsidR="00EC5D77" w:rsidRPr="00F25966" w:rsidRDefault="00EC5D77" w:rsidP="0074057D">
                        <w:pPr>
                          <w:pStyle w:val="TableText"/>
                          <w:spacing w:before="200" w:line="180" w:lineRule="atLeast"/>
                          <w:jc w:val="center"/>
                          <w:rPr>
                            <w:b/>
                          </w:rPr>
                        </w:pPr>
                        <w:r w:rsidRPr="00F25966">
                          <w:rPr>
                            <w:b/>
                          </w:rPr>
                          <w:t>Remedial action plan</w:t>
                        </w:r>
                      </w:p>
                    </w:txbxContent>
                  </v:textbox>
                </v:shape>
                <v:shape id="Text Box 2" o:spid="_x0000_s1048" type="#_x0000_t202" style="position:absolute;left:5032;top:7530;width:2300;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" fillcolor="#a4bbc4" strokecolor="#a4bbc4">
                  <v:textbox>
                    <w:txbxContent>
                      <w:p w14:paraId="59A77225" w14:textId="78A48A4A" w:rsidR="00EC5D77" w:rsidRPr="00F25966" w:rsidRDefault="00EC5D77" w:rsidP="00B66FB8">
                        <w:pPr>
                          <w:pStyle w:val="TableText"/>
                          <w:spacing w:before="0"/>
                          <w:jc w:val="center"/>
                          <w:rPr>
                            <w:b/>
                          </w:rPr>
                        </w:pPr>
                        <w:r w:rsidRPr="00F25966">
                          <w:rPr>
                            <w:b/>
                          </w:rPr>
                          <w:t>Ongoing site management plan in accordance with the regional plan</w:t>
                        </w:r>
                      </w:p>
                    </w:txbxContent>
                  </v:textbox>
                </v:shape>
                <v:shape id="AutoShape 31" o:spid="_x0000_s1049" type="#_x0000_t32" style="position:absolute;left:3491;top:8427;width:0;height: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Text Box 2" o:spid="_x0000_s1050" type="#_x0000_t202" style="position:absolute;left:2541;top:8980;width:196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" fillcolor="#a4bbc4" strokecolor="#a4bbc4">
                  <v:textbox>
                    <w:txbxContent>
                      <w:p w14:paraId="4E5BFAB4" w14:textId="29F2A32E" w:rsidR="00EC5D77" w:rsidRPr="00F25966" w:rsidRDefault="00EC5D77" w:rsidP="00FA596A">
                        <w:pPr>
                          <w:pStyle w:val="TableText"/>
                          <w:spacing w:before="120"/>
                          <w:jc w:val="center"/>
                          <w:rPr>
                            <w:b/>
                          </w:rPr>
                        </w:pPr>
                        <w:r w:rsidRPr="00F25966">
                          <w:rPr>
                            <w:b/>
                          </w:rPr>
                          <w:t>Site validation report</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3" o:spid="_x0000_s1051" type="#_x0000_t88" style="position:absolute;left:8143;top:1768;width:516;height:7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" strokeweight="1pt"/>
                <v:shape id="AutoShape 34" o:spid="_x0000_s1052" type="#_x0000_t32" style="position:absolute;left:4419;top:7979;width: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">
                  <v:stroke startarrow="block" endarrow="block"/>
                </v:shape>
                <v:shape id="Text Box 35" o:spid="_x0000_s1053" type="#_x0000_t202" style="position:absolute;left:8772;top:5395;width:1199;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" strokecolor="white [3212]">
                  <v:textbox inset="0,0,0,0">
                    <w:txbxContent>
                      <w:p w14:paraId="383E3053" w14:textId="038B6935" w:rsidR="00EC5D77" w:rsidRPr="00771B7B" w:rsidRDefault="00EC5D77" w:rsidP="00771B7B">
                        <w:pPr>
                          <w:pStyle w:val="TableText"/>
                          <w:jc w:val="center"/>
                          <w:rPr>
                            <w:b/>
                            <w:sz w:val="22"/>
                          </w:rPr>
                        </w:pPr>
                        <w:r w:rsidRPr="00771B7B">
                          <w:rPr>
                            <w:b/>
                            <w:sz w:val="22"/>
                          </w:rPr>
                          <w:t>Council engagement</w:t>
                        </w:r>
                      </w:p>
                    </w:txbxContent>
                  </v:textbox>
                </v:shape>
                <v:shape id="Text Box 2" o:spid="_x0000_s1054" type="#_x0000_t202" style="position:absolute;left:1379;top:1786;width:1876;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" fillcolor="#d4eee9" strokecolor="#d4eee9">
                  <v:textbox style="mso-fit-shape-to-text:t">
                    <w:txbxContent>
                      <w:p w14:paraId="66ECCF97" w14:textId="17A720B2" w:rsidR="00EC5D77" w:rsidRPr="00F25966" w:rsidRDefault="00EC5D77" w:rsidP="00A87A95">
                        <w:pPr>
                          <w:pStyle w:val="TableText"/>
                          <w:jc w:val="center"/>
                          <w:rPr>
                            <w:b/>
                          </w:rPr>
                        </w:pPr>
                        <w:r w:rsidRPr="00A87A95">
                          <w:rPr>
                            <w:b/>
                          </w:rPr>
                          <w:t>Step 1: Site identification</w:t>
                        </w:r>
                      </w:p>
                    </w:txbxContent>
                  </v:textbox>
                </v:shape>
                <v:shape id="AutoShape 16" o:spid="_x0000_s1055" type="#_x0000_t32" style="position:absolute;left:4598;top:3989;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group id="Group 42" o:spid="_x0000_s1056" style="position:absolute;left:5850;top:3582;width:776;height:326" coordorigin="5850,3582" coordsize="77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utoShape 9" o:spid="_x0000_s1057" type="#_x0000_t32" style="position:absolute;left:6240;top:3582;width:0;height: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"/>
                  <v:shape id="AutoShape 12" o:spid="_x0000_s1058" type="#_x0000_t32" style="position:absolute;left:6236;top:3908;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41" o:spid="_x0000_s1059" type="#_x0000_t32" style="position:absolute;left:5850;top:3907;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group>
              </v:group>
            </w:pict>
          </mc:Fallback>
        </mc:AlternateContent>
      </w:r>
    </w:p>
    <w:p w14:paraId="4C18C546" w14:textId="44026EB1" w:rsidR="00FC1B9B" w:rsidRPr="00843DAF" w:rsidRDefault="00FC1B9B" w:rsidP="007069D8">
      <w:pPr>
        <w:pStyle w:val="BodyText"/>
      </w:pPr>
    </w:p>
    <w:p w14:paraId="6D54F4E4" w14:textId="62DFEFE1" w:rsidR="007F3ADE" w:rsidRDefault="007F3ADE" w:rsidP="007069D8">
      <w:pPr>
        <w:pStyle w:val="BodyText"/>
      </w:pPr>
    </w:p>
    <w:p w14:paraId="6F43CAE8" w14:textId="7A8EE2EA" w:rsidR="007F3ADE" w:rsidRDefault="007F3ADE" w:rsidP="007069D8">
      <w:pPr>
        <w:pStyle w:val="BodyText"/>
      </w:pPr>
    </w:p>
    <w:p w14:paraId="16CC1EB2" w14:textId="62087C21" w:rsidR="007F3ADE" w:rsidRDefault="007F3ADE" w:rsidP="007069D8">
      <w:pPr>
        <w:pStyle w:val="BodyText"/>
      </w:pPr>
    </w:p>
    <w:p w14:paraId="2FC2423F" w14:textId="1C071DDE" w:rsidR="007F3ADE" w:rsidRDefault="007F3ADE" w:rsidP="007069D8">
      <w:pPr>
        <w:pStyle w:val="BodyText"/>
      </w:pPr>
    </w:p>
    <w:p w14:paraId="4A742B79" w14:textId="33F50A64" w:rsidR="007F3ADE" w:rsidRPr="00F25966" w:rsidRDefault="007F3ADE" w:rsidP="007069D8">
      <w:pPr>
        <w:pStyle w:val="BodyText"/>
      </w:pPr>
    </w:p>
    <w:p w14:paraId="65B4B0D3" w14:textId="568A70AA" w:rsidR="007F3ADE" w:rsidRPr="00F25966" w:rsidRDefault="007F3ADE" w:rsidP="007069D8">
      <w:pPr>
        <w:pStyle w:val="BodyText"/>
      </w:pPr>
    </w:p>
    <w:p w14:paraId="5FF06FC2" w14:textId="00362298" w:rsidR="007F3ADE" w:rsidRPr="00F25966" w:rsidRDefault="007F3ADE" w:rsidP="007069D8">
      <w:pPr>
        <w:pStyle w:val="BodyText"/>
      </w:pPr>
    </w:p>
    <w:p w14:paraId="25FC4EE7" w14:textId="370AF772" w:rsidR="007F3ADE" w:rsidRPr="00F25966" w:rsidRDefault="007F3ADE" w:rsidP="007069D8">
      <w:pPr>
        <w:pStyle w:val="BodyText"/>
      </w:pPr>
    </w:p>
    <w:p w14:paraId="6B9C9E46" w14:textId="7D0BAC71" w:rsidR="00BB745F" w:rsidRPr="00F25966" w:rsidRDefault="00BB745F" w:rsidP="007069D8">
      <w:pPr>
        <w:pStyle w:val="BodyText"/>
      </w:pPr>
    </w:p>
    <w:p w14:paraId="7270D34B" w14:textId="03FB8C5E" w:rsidR="00BB745F" w:rsidRPr="00F25966" w:rsidRDefault="00BB745F" w:rsidP="007069D8">
      <w:pPr>
        <w:pStyle w:val="BodyText"/>
      </w:pPr>
    </w:p>
    <w:p w14:paraId="1A0C3A11" w14:textId="0ACC3142" w:rsidR="00E55E45" w:rsidRPr="00F25966" w:rsidRDefault="00E55E45" w:rsidP="007069D8">
      <w:pPr>
        <w:pStyle w:val="BodyText"/>
      </w:pPr>
    </w:p>
    <w:p w14:paraId="621C625C" w14:textId="6444A925" w:rsidR="00E55E45" w:rsidRDefault="00E55E45" w:rsidP="007069D8">
      <w:pPr>
        <w:pStyle w:val="BodyText"/>
      </w:pPr>
    </w:p>
    <w:p w14:paraId="75F6487F" w14:textId="3919D6B8" w:rsidR="00E55E45" w:rsidRDefault="00E55E45" w:rsidP="007069D8">
      <w:pPr>
        <w:pStyle w:val="BodyText"/>
      </w:pPr>
    </w:p>
    <w:p w14:paraId="37DACD52" w14:textId="77777777" w:rsidR="00FA596A" w:rsidRDefault="00FA596A" w:rsidP="007069D8">
      <w:pPr>
        <w:pStyle w:val="BodyText"/>
      </w:pPr>
    </w:p>
    <w:p w14:paraId="60038A6B" w14:textId="77777777" w:rsidR="00FA596A" w:rsidRPr="007069D8" w:rsidRDefault="00FA596A" w:rsidP="007069D8">
      <w:pPr>
        <w:pStyle w:val="BodyText"/>
      </w:pPr>
    </w:p>
    <w:p w14:paraId="5B6BBD32" w14:textId="719FB15C" w:rsidR="007069D8" w:rsidRDefault="007069D8">
      <w:pPr>
        <w:spacing w:before="0" w:after="200" w:line="276" w:lineRule="auto"/>
        <w:jc w:val="left"/>
      </w:pPr>
      <w:r>
        <w:br w:type="page"/>
      </w:r>
    </w:p>
    <w:p w14:paraId="4F4619BB" w14:textId="77777777" w:rsidR="003D46EC" w:rsidRDefault="003D46EC" w:rsidP="003D46EC">
      <w:pPr>
        <w:pStyle w:val="Heading2"/>
      </w:pPr>
      <w:bookmarkStart w:id="7" w:name="_Toc7533398"/>
      <w:r>
        <w:lastRenderedPageBreak/>
        <w:t>Step 1: Site identification</w:t>
      </w:r>
      <w:bookmarkEnd w:id="7"/>
    </w:p>
    <w:p w14:paraId="4F55EA5B" w14:textId="77777777" w:rsidR="003D46EC" w:rsidRDefault="003D46EC" w:rsidP="003D46EC">
      <w:pPr>
        <w:pStyle w:val="BodyText"/>
      </w:pPr>
      <w:r>
        <w:t xml:space="preserve">Two main activities identify sites potentially contaminated with PFAS. </w:t>
      </w:r>
    </w:p>
    <w:p w14:paraId="2E0C9394" w14:textId="77777777" w:rsidR="003D46EC" w:rsidRDefault="003D46EC" w:rsidP="003D46EC">
      <w:pPr>
        <w:pStyle w:val="Numberedparagraph"/>
      </w:pPr>
      <w:r>
        <w:t xml:space="preserve">By councils: </w:t>
      </w:r>
    </w:p>
    <w:p w14:paraId="33866B89" w14:textId="123D9C19" w:rsidR="003D46EC" w:rsidRDefault="00431CB8" w:rsidP="00431CB8">
      <w:pPr>
        <w:pStyle w:val="Sub-lista"/>
      </w:pPr>
      <w:r>
        <w:t xml:space="preserve">regional </w:t>
      </w:r>
      <w:r w:rsidR="003D46EC">
        <w:t xml:space="preserve">councils identify and monitor contaminated land, control discharges to the environment, and control water quality in a water body </w:t>
      </w:r>
    </w:p>
    <w:p w14:paraId="46D82748" w14:textId="018D4363" w:rsidR="003D46EC" w:rsidRDefault="00431CB8" w:rsidP="003D46EC">
      <w:pPr>
        <w:pStyle w:val="Sub-lista"/>
      </w:pPr>
      <w:r>
        <w:t xml:space="preserve">territorial </w:t>
      </w:r>
      <w:r w:rsidR="003D46EC">
        <w:t xml:space="preserve">authorities prevent or mitigate any adverse effects of the development, subdivision, or use of contaminated land usually achieved </w:t>
      </w:r>
      <w:r>
        <w:t xml:space="preserve">through </w:t>
      </w:r>
      <w:r w:rsidR="003D46EC">
        <w:t>the NES.</w:t>
      </w:r>
    </w:p>
    <w:p w14:paraId="6D67DE0E" w14:textId="77777777" w:rsidR="003D46EC" w:rsidRDefault="003D46EC" w:rsidP="003D46EC">
      <w:pPr>
        <w:pStyle w:val="Numberedparagraph"/>
      </w:pPr>
      <w:r>
        <w:t>By landowners/prospective landowners making due diligence audits or investigations, to learn of any potential or actual contamination liabilities for a piece of land.</w:t>
      </w:r>
    </w:p>
    <w:p w14:paraId="44BEA450" w14:textId="4325A2A0" w:rsidR="003D46EC" w:rsidRDefault="003D46EC" w:rsidP="003D46EC">
      <w:pPr>
        <w:pStyle w:val="BodyText"/>
      </w:pPr>
      <w:r w:rsidRPr="003D46EC">
        <w:rPr>
          <w:b/>
        </w:rPr>
        <w:t>Regional councils</w:t>
      </w:r>
      <w:r>
        <w:t xml:space="preserve"> compile registers of sites where hazardous activities and industries have taken place, to comply with their RMA section 30(1)(ca) duty. Industries and activities that have used PFAS/PFAS-containing products may be considered as </w:t>
      </w:r>
      <w:hyperlink r:id="rId23" w:history="1">
        <w:r w:rsidR="00431CB8" w:rsidRPr="00431CB8">
          <w:rPr>
            <w:rStyle w:val="Hyperlink"/>
          </w:rPr>
          <w:t>Hazardous Activities and Industries List</w:t>
        </w:r>
      </w:hyperlink>
      <w:r w:rsidR="00431CB8">
        <w:t xml:space="preserve"> (</w:t>
      </w:r>
      <w:r>
        <w:t>HAIL</w:t>
      </w:r>
      <w:r w:rsidR="00431CB8">
        <w:t>)</w:t>
      </w:r>
      <w:r>
        <w:t xml:space="preserve"> sites. These may be either as an identified industry category or, where evidence exists, as land that has been subject to intentional or accidental release of a hazardous substance in sufficient quantity that could be a risk to human health or the environment (HAIL category I).  </w:t>
      </w:r>
    </w:p>
    <w:p w14:paraId="60B27A2F" w14:textId="67428B02" w:rsidR="003D46EC" w:rsidRDefault="003D46EC" w:rsidP="003D46EC">
      <w:pPr>
        <w:pStyle w:val="BodyText"/>
      </w:pPr>
      <w:r>
        <w:t xml:space="preserve">For advice, see </w:t>
      </w:r>
      <w:hyperlink r:id="rId24" w:history="1">
        <w:r w:rsidRPr="00431CB8">
          <w:rPr>
            <w:rStyle w:val="Hyperlink"/>
            <w:i/>
          </w:rPr>
          <w:t>Contaminated Land Management Guideline No. 4</w:t>
        </w:r>
        <w:r w:rsidR="00431CB8" w:rsidRPr="00431CB8">
          <w:rPr>
            <w:rStyle w:val="Hyperlink"/>
            <w:i/>
          </w:rPr>
          <w:t>:</w:t>
        </w:r>
        <w:r w:rsidRPr="00431CB8">
          <w:rPr>
            <w:rStyle w:val="Hyperlink"/>
            <w:i/>
          </w:rPr>
          <w:t xml:space="preserve"> Classification and Information Management Protocols</w:t>
        </w:r>
      </w:hyperlink>
      <w:r w:rsidRPr="003D46EC">
        <w:t xml:space="preserve"> (CLMG#4)</w:t>
      </w:r>
      <w:r>
        <w:t>.</w:t>
      </w:r>
    </w:p>
    <w:p w14:paraId="3A065735" w14:textId="77777777" w:rsidR="003D46EC" w:rsidRDefault="003D46EC" w:rsidP="003D46EC">
      <w:pPr>
        <w:pStyle w:val="BodyText"/>
      </w:pPr>
      <w:r w:rsidRPr="003D46EC">
        <w:rPr>
          <w:b/>
        </w:rPr>
        <w:t>Territorial authorities</w:t>
      </w:r>
      <w:r>
        <w:t xml:space="preserve"> use the registers to identify sites that may be subject to these regulations. </w:t>
      </w:r>
    </w:p>
    <w:p w14:paraId="204C68F1" w14:textId="2322D53B" w:rsidR="003D46EC" w:rsidRDefault="003D46EC" w:rsidP="003D46EC">
      <w:pPr>
        <w:pStyle w:val="BodyText"/>
      </w:pPr>
      <w:r>
        <w:t xml:space="preserve">Section 9 of the RMA prohibits </w:t>
      </w:r>
      <w:r w:rsidR="00431CB8">
        <w:t>using</w:t>
      </w:r>
      <w:r>
        <w:t xml:space="preserve"> land in a </w:t>
      </w:r>
      <w:r w:rsidR="00431CB8">
        <w:t xml:space="preserve">way </w:t>
      </w:r>
      <w:r>
        <w:t xml:space="preserve">that contravenes a </w:t>
      </w:r>
      <w:r w:rsidR="00431CB8">
        <w:t xml:space="preserve">national environmental standard </w:t>
      </w:r>
      <w:r>
        <w:t>or the rules in regional and district plans. Landowners also have a general duty under section 17 of the RMA to avoid, remedy or mitigate adverse effects on the</w:t>
      </w:r>
      <w:r w:rsidR="000C7CE8">
        <w:t> </w:t>
      </w:r>
      <w:r>
        <w:t xml:space="preserve">environment from an activity carried out by or on behalf of the person. Owners or occupiers of land must also comply with the Health Act </w:t>
      </w:r>
      <w:r w:rsidR="00431CB8">
        <w:t xml:space="preserve">1956 </w:t>
      </w:r>
      <w:r>
        <w:t>and the RMA to avoid nuisance and</w:t>
      </w:r>
      <w:r w:rsidR="000C7CE8">
        <w:t> </w:t>
      </w:r>
      <w:r>
        <w:t xml:space="preserve">adverse environmental effects. </w:t>
      </w:r>
    </w:p>
    <w:p w14:paraId="2E62B37A" w14:textId="77777777" w:rsidR="003D46EC" w:rsidRDefault="003D46EC" w:rsidP="003D46EC">
      <w:pPr>
        <w:pStyle w:val="BodyText"/>
      </w:pPr>
      <w:r>
        <w:t xml:space="preserve">Other activities that may lead to councils identifying sites include inspections for another purpose, eg, compliance audits or pollution. If a council finds anything that may not comply with the RMA, it is empowered, and expected, to investigate. </w:t>
      </w:r>
    </w:p>
    <w:p w14:paraId="1B8C2591" w14:textId="77777777" w:rsidR="003D46EC" w:rsidRDefault="003D46EC" w:rsidP="00134EE9">
      <w:pPr>
        <w:pStyle w:val="Heading3"/>
      </w:pPr>
      <w:r>
        <w:t>Prioritising sites</w:t>
      </w:r>
    </w:p>
    <w:p w14:paraId="6A89E1C6" w14:textId="77777777" w:rsidR="003D46EC" w:rsidRDefault="003D46EC" w:rsidP="003D46EC">
      <w:pPr>
        <w:pStyle w:val="BodyText"/>
      </w:pPr>
      <w:r>
        <w:t xml:space="preserve">A council’s register of HAIL sites allows for prioritising potentially contaminated sites. Prioritisation uses known information to highlight sites that may require urgent assessment, management and/or remediation. </w:t>
      </w:r>
    </w:p>
    <w:p w14:paraId="46A74850" w14:textId="77777777" w:rsidR="00134EE9" w:rsidRDefault="00134EE9" w:rsidP="00134EE9">
      <w:pPr>
        <w:pStyle w:val="BodyText"/>
      </w:pPr>
      <w:r>
        <w:t xml:space="preserve">Prioritisation also enables the landowner and regulator to consider and, if necessary, address sites in descending order of priority. This makes the most efficient use of resources. </w:t>
      </w:r>
    </w:p>
    <w:p w14:paraId="1A8E07AC" w14:textId="77777777" w:rsidR="007069D8" w:rsidRDefault="00134EE9" w:rsidP="00134EE9">
      <w:pPr>
        <w:pStyle w:val="BodyText"/>
      </w:pPr>
      <w:r>
        <w:t>Landowners should discuss their prioritisation exercises with councils (as the responsible regulators), particularly about a site of concern.</w:t>
      </w:r>
    </w:p>
    <w:p w14:paraId="55C90675" w14:textId="77777777" w:rsidR="00134EE9" w:rsidRDefault="00134EE9" w:rsidP="00134EE9">
      <w:pPr>
        <w:pStyle w:val="Heading3"/>
      </w:pPr>
      <w:r w:rsidRPr="00134EE9">
        <w:lastRenderedPageBreak/>
        <w:t>Guidelines and information</w:t>
      </w:r>
    </w:p>
    <w:p w14:paraId="1C09A074" w14:textId="0A7C15ED" w:rsidR="00134EE9" w:rsidRDefault="00134EE9" w:rsidP="00134EE9">
      <w:pPr>
        <w:pStyle w:val="BodyText"/>
      </w:pPr>
      <w:r>
        <w:t>I</w:t>
      </w:r>
      <w:r w:rsidRPr="009B7EFB">
        <w:t xml:space="preserve">nformation </w:t>
      </w:r>
      <w:r>
        <w:t xml:space="preserve">sources that could help identify sites include </w:t>
      </w:r>
      <w:r w:rsidRPr="009B7EFB">
        <w:t>council</w:t>
      </w:r>
      <w:r>
        <w:t xml:space="preserve"> registers </w:t>
      </w:r>
      <w:r w:rsidRPr="009B7EFB">
        <w:t>of HAIL land</w:t>
      </w:r>
      <w:r w:rsidR="00C60637">
        <w:t>-</w:t>
      </w:r>
      <w:r w:rsidRPr="009B7EFB">
        <w:t xml:space="preserve">use sites, and those identified in CLMG#4. </w:t>
      </w:r>
      <w:r>
        <w:t xml:space="preserve">Also helpful are </w:t>
      </w:r>
      <w:r w:rsidRPr="009B7EFB">
        <w:t>PFAS</w:t>
      </w:r>
      <w:r>
        <w:t>-</w:t>
      </w:r>
      <w:r w:rsidRPr="009B7EFB">
        <w:t>specific studies</w:t>
      </w:r>
      <w:r>
        <w:t xml:space="preserve">, such as the </w:t>
      </w:r>
      <w:hyperlink r:id="rId25" w:history="1">
        <w:r w:rsidRPr="00C60637">
          <w:rPr>
            <w:rStyle w:val="Hyperlink"/>
            <w:i/>
          </w:rPr>
          <w:t>Non fire-fighting foam sources of PFAS contamination in New Zealand scoping study</w:t>
        </w:r>
      </w:hyperlink>
      <w:r>
        <w:t>.</w:t>
      </w:r>
    </w:p>
    <w:p w14:paraId="385D55D6" w14:textId="77777777" w:rsidR="00134EE9" w:rsidRDefault="00134EE9" w:rsidP="00134EE9">
      <w:pPr>
        <w:pStyle w:val="BodyText"/>
      </w:pPr>
      <w:r>
        <w:t xml:space="preserve">Site-specific information can support more robust assessment. Any prioritisation of sites is likely to change over time as more information becomes available. </w:t>
      </w:r>
    </w:p>
    <w:p w14:paraId="6FB2C875" w14:textId="30E1DB29" w:rsidR="00134EE9" w:rsidRDefault="00134EE9" w:rsidP="00134EE9">
      <w:pPr>
        <w:pStyle w:val="Heading2"/>
      </w:pPr>
      <w:bookmarkStart w:id="8" w:name="_Toc7533399"/>
      <w:r>
        <w:t>Step 2: Preliminary site investigation (PSI)</w:t>
      </w:r>
      <w:bookmarkEnd w:id="8"/>
    </w:p>
    <w:p w14:paraId="38C128EA" w14:textId="4546B709" w:rsidR="00134EE9" w:rsidRDefault="00134EE9" w:rsidP="00134EE9">
      <w:pPr>
        <w:pStyle w:val="BodyText"/>
      </w:pPr>
      <w:r>
        <w:t xml:space="preserve">If a landowner plans an activity regulated by the NES, they may need a PSI to inform any decisions. Landowners may also carry out a PSI to identify risks and better understand their liability if there is contamination. </w:t>
      </w:r>
    </w:p>
    <w:p w14:paraId="654B6EF3" w14:textId="77777777" w:rsidR="00134EE9" w:rsidRDefault="00134EE9" w:rsidP="00134EE9">
      <w:pPr>
        <w:pStyle w:val="BodyText"/>
      </w:pPr>
      <w:r>
        <w:t>The PSI involves compiling information about a site’s history, and identifying all potential contaminants, sources and discharges, pathways and receptors. This data underpins a conceptual site model (see Step 3) and highlights any gaps, before assessing risk.</w:t>
      </w:r>
    </w:p>
    <w:p w14:paraId="19EC473B" w14:textId="77777777" w:rsidR="00134EE9" w:rsidRDefault="00134EE9" w:rsidP="00134EE9">
      <w:pPr>
        <w:pStyle w:val="Heading3"/>
      </w:pPr>
      <w:r>
        <w:t xml:space="preserve">Guidelines and information </w:t>
      </w:r>
    </w:p>
    <w:p w14:paraId="18756BF1" w14:textId="5DC29A23" w:rsidR="00134EE9" w:rsidRDefault="0056237C" w:rsidP="00134EE9">
      <w:pPr>
        <w:pStyle w:val="BodyText"/>
      </w:pPr>
      <w:hyperlink r:id="rId26" w:history="1">
        <w:r w:rsidR="00134EE9" w:rsidRPr="00C60637">
          <w:rPr>
            <w:rStyle w:val="Hyperlink"/>
            <w:i/>
          </w:rPr>
          <w:t>Contaminated Land Management Guideline No. 1</w:t>
        </w:r>
        <w:r w:rsidR="00C60637" w:rsidRPr="00C60637">
          <w:rPr>
            <w:rStyle w:val="Hyperlink"/>
            <w:i/>
          </w:rPr>
          <w:t>:</w:t>
        </w:r>
        <w:r w:rsidR="00134EE9" w:rsidRPr="00C60637">
          <w:rPr>
            <w:rStyle w:val="Hyperlink"/>
            <w:i/>
          </w:rPr>
          <w:t xml:space="preserve"> Reporting on Contaminated Sites in New</w:t>
        </w:r>
        <w:r w:rsidR="008278F3" w:rsidRPr="00C60637">
          <w:rPr>
            <w:rStyle w:val="Hyperlink"/>
            <w:i/>
          </w:rPr>
          <w:t> </w:t>
        </w:r>
        <w:r w:rsidR="00134EE9" w:rsidRPr="00C60637">
          <w:rPr>
            <w:rStyle w:val="Hyperlink"/>
            <w:i/>
          </w:rPr>
          <w:t>Zealand</w:t>
        </w:r>
      </w:hyperlink>
      <w:r w:rsidR="00134EE9">
        <w:t xml:space="preserve"> (CLMG#1) sets out minimum information required for each reporting phase.</w:t>
      </w:r>
    </w:p>
    <w:p w14:paraId="6BBAB74B" w14:textId="1829E6A1" w:rsidR="00134EE9" w:rsidRDefault="00134EE9" w:rsidP="00134EE9">
      <w:pPr>
        <w:pStyle w:val="BodyText"/>
      </w:pPr>
      <w:r>
        <w:t>If the available information/conceptual site model suggests a potential contamination risk exists, further detailed investigations may be required to confirm and quantify the levels and extent of contamination. The Source-Pathway-Receptor model sho</w:t>
      </w:r>
      <w:r w:rsidR="00C60637">
        <w:t>u</w:t>
      </w:r>
      <w:r>
        <w:t>ld be used to help identify contamination risk</w:t>
      </w:r>
      <w:r w:rsidR="00C60637">
        <w:t>.</w:t>
      </w:r>
      <w:r>
        <w:t xml:space="preserve"> </w:t>
      </w:r>
      <w:r w:rsidRPr="006D48A9">
        <w:t xml:space="preserve">Refer to </w:t>
      </w:r>
      <w:hyperlink r:id="rId27" w:history="1">
        <w:r w:rsidRPr="006D48A9">
          <w:rPr>
            <w:rStyle w:val="Hyperlink"/>
            <w:i/>
          </w:rPr>
          <w:t>Contaminated Land Management Guideline No. 3 – Risk Screening System</w:t>
        </w:r>
      </w:hyperlink>
      <w:r>
        <w:t xml:space="preserve">. Section 2 has details on the Source-Pathway-Receptor model. </w:t>
      </w:r>
    </w:p>
    <w:p w14:paraId="7516A1AB" w14:textId="51C21BA0" w:rsidR="00134EE9" w:rsidRDefault="00134EE9" w:rsidP="00134EE9">
      <w:pPr>
        <w:pStyle w:val="BodyText"/>
      </w:pPr>
      <w:r>
        <w:t xml:space="preserve">See also the sections on conceptual site models in </w:t>
      </w:r>
      <w:hyperlink r:id="rId28" w:history="1">
        <w:r w:rsidRPr="00C60637">
          <w:rPr>
            <w:rStyle w:val="Hyperlink"/>
            <w:i/>
          </w:rPr>
          <w:t>Contaminated Land Management Guideline No. 5 – Site Investigation and Analysis of Soils</w:t>
        </w:r>
      </w:hyperlink>
      <w:r>
        <w:t xml:space="preserve"> (CLMG#5).</w:t>
      </w:r>
    </w:p>
    <w:p w14:paraId="00450CD8" w14:textId="26AE08E0" w:rsidR="00186C60" w:rsidRPr="00186C60" w:rsidRDefault="00186C60" w:rsidP="00186C60">
      <w:pPr>
        <w:pStyle w:val="BodyText"/>
      </w:pPr>
      <w:r w:rsidRPr="00186C60">
        <w:t>For the common descriptors of the investigation phases, see CLMG#5. This guideline is mainly</w:t>
      </w:r>
      <w:r>
        <w:t> </w:t>
      </w:r>
      <w:r w:rsidRPr="00186C60">
        <w:t xml:space="preserve">about soil, although the same principles could apply to other media, such as groundwater or surface waters. In the case of drinking water, see the </w:t>
      </w:r>
      <w:hyperlink r:id="rId29" w:history="1">
        <w:r w:rsidRPr="00C60637">
          <w:rPr>
            <w:rStyle w:val="Hyperlink"/>
          </w:rPr>
          <w:t>NES for Sources of Human Drinking Water</w:t>
        </w:r>
      </w:hyperlink>
      <w:r>
        <w:t>.</w:t>
      </w:r>
      <w:r w:rsidRPr="00186C60">
        <w:t xml:space="preserve"> </w:t>
      </w:r>
    </w:p>
    <w:p w14:paraId="740A6759" w14:textId="4044A50C" w:rsidR="00D05114" w:rsidRDefault="00D05114" w:rsidP="00D05114">
      <w:pPr>
        <w:pStyle w:val="Heading2"/>
      </w:pPr>
      <w:bookmarkStart w:id="9" w:name="_Toc7533400"/>
      <w:r>
        <w:t>Step 3: Detailed site investigation (DSI)</w:t>
      </w:r>
      <w:bookmarkEnd w:id="9"/>
    </w:p>
    <w:p w14:paraId="4E2BB9F8" w14:textId="77777777" w:rsidR="00D05114" w:rsidRDefault="00D05114" w:rsidP="00D05114">
      <w:pPr>
        <w:pStyle w:val="Heading3"/>
        <w:spacing w:before="240"/>
      </w:pPr>
      <w:r>
        <w:t>What is a DSI?</w:t>
      </w:r>
    </w:p>
    <w:p w14:paraId="7E8A31E3" w14:textId="1DDE2282" w:rsidR="00D05114" w:rsidRDefault="00D05114" w:rsidP="00D05114">
      <w:pPr>
        <w:pStyle w:val="BodyText"/>
        <w:keepLines/>
      </w:pPr>
      <w:r>
        <w:t>A DSI involves sampling and analysis to understand the contaminants, their extent and concentration. It should address information gaps found during the PSI. The DSI can confirm assumptions made during the PSI about geology, potential pathways</w:t>
      </w:r>
      <w:r w:rsidR="00C60637">
        <w:t>,</w:t>
      </w:r>
      <w:r>
        <w:t xml:space="preserve"> and environmental receptors. It may also consider cultural, community and economic values.</w:t>
      </w:r>
    </w:p>
    <w:p w14:paraId="16A8C6A8" w14:textId="77777777" w:rsidR="00D05114" w:rsidRDefault="00D05114" w:rsidP="00D05114">
      <w:pPr>
        <w:pStyle w:val="Heading3"/>
      </w:pPr>
      <w:r>
        <w:lastRenderedPageBreak/>
        <w:t>Conceptual site models</w:t>
      </w:r>
    </w:p>
    <w:p w14:paraId="63D9D1CD" w14:textId="77777777" w:rsidR="00D05114" w:rsidRDefault="00D05114" w:rsidP="00D05114">
      <w:pPr>
        <w:pStyle w:val="BodyText"/>
      </w:pPr>
      <w:r>
        <w:t>A qualified and experienced practitioner will use the DSI to develop or refine a conceptual site</w:t>
      </w:r>
      <w:r w:rsidR="008278F3">
        <w:t> </w:t>
      </w:r>
      <w:r>
        <w:t xml:space="preserve">model. This is used as the basis for an assessment of risk to human and environmental receptors. </w:t>
      </w:r>
    </w:p>
    <w:p w14:paraId="36529D35" w14:textId="77777777" w:rsidR="00D05114" w:rsidRDefault="00D05114" w:rsidP="00D05114">
      <w:pPr>
        <w:pStyle w:val="Heading3"/>
      </w:pPr>
      <w:r>
        <w:t>Reasons for a DSI</w:t>
      </w:r>
    </w:p>
    <w:p w14:paraId="1A65DE23" w14:textId="77777777" w:rsidR="00D05114" w:rsidRDefault="00D05114" w:rsidP="00D05114">
      <w:pPr>
        <w:pStyle w:val="BodyText"/>
      </w:pPr>
      <w:r>
        <w:t>Landowners may need to undertake a DSI when:</w:t>
      </w:r>
    </w:p>
    <w:p w14:paraId="51079D0F" w14:textId="77777777" w:rsidR="00D05114" w:rsidRDefault="00D05114" w:rsidP="00D05114">
      <w:pPr>
        <w:pStyle w:val="Bullet"/>
      </w:pPr>
      <w:r>
        <w:t>a PSI identifies information gaps, or does not assess the potential risk from a site, or signals a potential risk to health or the environment</w:t>
      </w:r>
    </w:p>
    <w:p w14:paraId="2C213911" w14:textId="77777777" w:rsidR="00D05114" w:rsidRDefault="00D05114" w:rsidP="00D05114">
      <w:pPr>
        <w:pStyle w:val="Bullet"/>
      </w:pPr>
      <w:r>
        <w:t xml:space="preserve">under the NES, a council decides that a DSI is required to assess either an application for resource consent or compliance with resource consent </w:t>
      </w:r>
    </w:p>
    <w:p w14:paraId="11971B3E" w14:textId="77777777" w:rsidR="00D05114" w:rsidRDefault="00D05114" w:rsidP="00D05114">
      <w:pPr>
        <w:pStyle w:val="Bullet"/>
      </w:pPr>
      <w:r>
        <w:t xml:space="preserve">a council has reason to believe there has been a discharge, and requires a site assessment to determine: </w:t>
      </w:r>
    </w:p>
    <w:p w14:paraId="6CFCD9BC" w14:textId="77777777" w:rsidR="00D05114" w:rsidRDefault="00D05114" w:rsidP="00D05114">
      <w:pPr>
        <w:pStyle w:val="Sub-list"/>
      </w:pPr>
      <w:r>
        <w:t xml:space="preserve">compliance with the RMA, any regulation, a rule in a plan, or resource consent </w:t>
      </w:r>
    </w:p>
    <w:p w14:paraId="3B39F4B0" w14:textId="77777777" w:rsidR="00D05114" w:rsidRDefault="00D05114" w:rsidP="00D05114">
      <w:pPr>
        <w:pStyle w:val="Sub-list"/>
      </w:pPr>
      <w:r>
        <w:t>the actions to avoid, remedy or mitigate any actual or likely adverse effect on the environment.</w:t>
      </w:r>
    </w:p>
    <w:p w14:paraId="396CD34A" w14:textId="55024ED9" w:rsidR="00D05114" w:rsidRDefault="00D05114" w:rsidP="00D05114">
      <w:pPr>
        <w:pStyle w:val="BodyText"/>
      </w:pPr>
      <w:r>
        <w:t xml:space="preserve">This </w:t>
      </w:r>
      <w:r w:rsidR="00F67777">
        <w:t xml:space="preserve">guidance </w:t>
      </w:r>
      <w:r>
        <w:t>document does not lay out all the RMA requirements. Landowners and councils should consider any other provisions on a case-by-case basis.</w:t>
      </w:r>
    </w:p>
    <w:p w14:paraId="1EF27F13" w14:textId="0E746413" w:rsidR="007D4D6D" w:rsidRPr="007D4D6D" w:rsidRDefault="007D4D6D" w:rsidP="007D4D6D">
      <w:pPr>
        <w:pStyle w:val="BodyText"/>
      </w:pPr>
      <w:r>
        <w:t>F</w:t>
      </w:r>
      <w:r w:rsidRPr="009B7EFB">
        <w:t xml:space="preserve">or </w:t>
      </w:r>
      <w:r>
        <w:t xml:space="preserve">advice on </w:t>
      </w:r>
      <w:r w:rsidRPr="009B7EFB">
        <w:t>enforcement</w:t>
      </w:r>
      <w:r>
        <w:t>, l</w:t>
      </w:r>
      <w:r w:rsidRPr="009B7EFB">
        <w:t xml:space="preserve">ocal authorities should refer to the </w:t>
      </w:r>
      <w:hyperlink r:id="rId30" w:history="1">
        <w:r w:rsidRPr="00C60637">
          <w:rPr>
            <w:rStyle w:val="Hyperlink"/>
            <w:i/>
          </w:rPr>
          <w:t>Compliance, Monitoring and Enforcement Best Practice Guidelines</w:t>
        </w:r>
      </w:hyperlink>
      <w:r>
        <w:t>.</w:t>
      </w:r>
    </w:p>
    <w:p w14:paraId="5801B06D" w14:textId="77777777" w:rsidR="007D4D6D" w:rsidRDefault="007D4D6D" w:rsidP="007D4D6D">
      <w:pPr>
        <w:pStyle w:val="Heading3"/>
      </w:pPr>
      <w:r>
        <w:t>Assessing risk</w:t>
      </w:r>
    </w:p>
    <w:p w14:paraId="53DA2C19" w14:textId="365201AC" w:rsidR="007D4D6D" w:rsidRDefault="007D4D6D" w:rsidP="007D4D6D">
      <w:pPr>
        <w:pStyle w:val="BodyText"/>
      </w:pPr>
      <w:r>
        <w:t>A well-designed DSI should result in a robust assessment of the health and environmental risks of contamination. If it finds an unacceptable risk, or cannot determine the level of risk, further work is needed. This may include remedial planning, site monitoring and management. Decisions should be based on factors such as the nature, extent and concentration of the contamination, exposure pathways</w:t>
      </w:r>
      <w:r w:rsidR="00C60637">
        <w:t>,</w:t>
      </w:r>
      <w:r>
        <w:t xml:space="preserve"> and receptors. </w:t>
      </w:r>
    </w:p>
    <w:p w14:paraId="73DAA780" w14:textId="2D8F3FBC" w:rsidR="007D4D6D" w:rsidRDefault="007D4D6D" w:rsidP="007D4D6D">
      <w:pPr>
        <w:pStyle w:val="BodyText"/>
      </w:pPr>
      <w:r>
        <w:t xml:space="preserve">Determining an unacceptable level of risk must be based on the severity of adverse effects on receptors, and the likelihood of harm to health, safety or the environment. In these cases it is best for landowners to work with councils and, in some cases, </w:t>
      </w:r>
      <w:r w:rsidR="00C60637">
        <w:t>district health boards</w:t>
      </w:r>
      <w:r>
        <w:t>. Unresolved risk statements are not acceptable for a DSI.</w:t>
      </w:r>
    </w:p>
    <w:p w14:paraId="2658D356" w14:textId="77777777" w:rsidR="007D4D6D" w:rsidRDefault="007D4D6D" w:rsidP="007C3F17">
      <w:pPr>
        <w:pStyle w:val="Heading3"/>
      </w:pPr>
      <w:r>
        <w:t>Guidance and information</w:t>
      </w:r>
    </w:p>
    <w:p w14:paraId="38B04B35" w14:textId="3E2300B4" w:rsidR="007D4D6D" w:rsidRDefault="007D4D6D" w:rsidP="007D4D6D">
      <w:pPr>
        <w:pStyle w:val="BodyText"/>
      </w:pPr>
      <w:r>
        <w:t xml:space="preserve">Guidance on methods, instrumentation and reporting for a DSI is in CLMG#1, CLMG#5 and </w:t>
      </w:r>
      <w:hyperlink r:id="rId31" w:history="1">
        <w:r w:rsidRPr="00EC5D77">
          <w:rPr>
            <w:rStyle w:val="Hyperlink"/>
          </w:rPr>
          <w:t>National Environmental Monitoring Standards – Water Quality Parts 1–4</w:t>
        </w:r>
      </w:hyperlink>
      <w:r>
        <w:t xml:space="preserve">. </w:t>
      </w:r>
    </w:p>
    <w:p w14:paraId="5E41F63C" w14:textId="77777777" w:rsidR="00134EE9" w:rsidRDefault="007D4D6D" w:rsidP="007D4D6D">
      <w:pPr>
        <w:pStyle w:val="BodyText"/>
      </w:pPr>
      <w:r>
        <w:t>To help councils maintain their HAIL registers and property files, landowners should give them copies of DSIs. In some regions this is a requirement under the regional plan. Using this information, the council can reflect the current contamination status of a site on its register. This information will then be available to prospective landowners and territorial authorities when assessing the site under the RMA/NES.</w:t>
      </w:r>
    </w:p>
    <w:p w14:paraId="23904EAA" w14:textId="77777777" w:rsidR="007C3F17" w:rsidRDefault="007C3F17" w:rsidP="007C3F17">
      <w:pPr>
        <w:pStyle w:val="Heading2"/>
      </w:pPr>
      <w:bookmarkStart w:id="10" w:name="_Toc7533401"/>
      <w:r>
        <w:lastRenderedPageBreak/>
        <w:t>Step 4: Outcome</w:t>
      </w:r>
      <w:bookmarkEnd w:id="10"/>
    </w:p>
    <w:p w14:paraId="722694B0" w14:textId="79A77EA4" w:rsidR="007C3F17" w:rsidRDefault="007C3F17" w:rsidP="007C3F17">
      <w:pPr>
        <w:pStyle w:val="BodyText"/>
      </w:pPr>
      <w:r>
        <w:t>Any recommendations in a DSI, such as site remediation, risk management</w:t>
      </w:r>
      <w:r w:rsidR="00E97096">
        <w:t>,</w:t>
      </w:r>
      <w:r>
        <w:t xml:space="preserve"> or taking no action, should be informed by the conceptual site model and expert advice. If risks have been identified, whatever the outcome, the landowner should discuss and agree on next steps with the councils in their region/district/city. </w:t>
      </w:r>
    </w:p>
    <w:p w14:paraId="4D232856" w14:textId="77777777" w:rsidR="007C3F17" w:rsidRDefault="007C3F17" w:rsidP="007C3F17">
      <w:pPr>
        <w:pStyle w:val="BodyText"/>
      </w:pPr>
      <w:r>
        <w:t>The possible outcomes are:</w:t>
      </w:r>
    </w:p>
    <w:p w14:paraId="58CF4395" w14:textId="77777777" w:rsidR="007C3F17" w:rsidRDefault="007C3F17" w:rsidP="007C3F17">
      <w:pPr>
        <w:pStyle w:val="Bullet"/>
      </w:pPr>
      <w:r>
        <w:t>no further action</w:t>
      </w:r>
    </w:p>
    <w:p w14:paraId="22608AE4" w14:textId="77777777" w:rsidR="007C3F17" w:rsidRDefault="007C3F17" w:rsidP="007C3F17">
      <w:pPr>
        <w:pStyle w:val="Bullet"/>
      </w:pPr>
      <w:r>
        <w:t xml:space="preserve">assessment of remedial options (ARO) </w:t>
      </w:r>
    </w:p>
    <w:p w14:paraId="6CBD058C" w14:textId="77777777" w:rsidR="007C3F17" w:rsidRDefault="007C3F17" w:rsidP="007C3F17">
      <w:pPr>
        <w:pStyle w:val="Bullet"/>
      </w:pPr>
      <w:r>
        <w:t xml:space="preserve">an ongoing site management plan </w:t>
      </w:r>
    </w:p>
    <w:p w14:paraId="2A8AB8F5" w14:textId="77777777" w:rsidR="007C3F17" w:rsidRDefault="007C3F17" w:rsidP="007C3F17">
      <w:pPr>
        <w:pStyle w:val="Bullet"/>
      </w:pPr>
      <w:r>
        <w:t>a remedial action plan (RAP) and remediation of the site.</w:t>
      </w:r>
    </w:p>
    <w:p w14:paraId="26E65477" w14:textId="77777777" w:rsidR="007C3F17" w:rsidRDefault="007C3F17" w:rsidP="007C3F17">
      <w:pPr>
        <w:pStyle w:val="BodyText"/>
      </w:pPr>
      <w:r>
        <w:t>These next steps may also include further DSIs, ecological and cultural assessments, and structural and geotechnical investigations. These measures may give a better understanding of</w:t>
      </w:r>
      <w:r w:rsidR="008278F3">
        <w:t> </w:t>
      </w:r>
      <w:r>
        <w:t>the contamination, identify any receptors to protect, and clarify the usefulness of any risk</w:t>
      </w:r>
      <w:r w:rsidR="008278F3">
        <w:t> </w:t>
      </w:r>
      <w:r>
        <w:t xml:space="preserve">reduction. The DSI and other investigations should yield enough information to support any recommendations. </w:t>
      </w:r>
    </w:p>
    <w:p w14:paraId="6D431B51" w14:textId="77777777" w:rsidR="007C3F17" w:rsidRDefault="007C3F17" w:rsidP="007C3F17">
      <w:pPr>
        <w:pStyle w:val="Heading3"/>
      </w:pPr>
      <w:r>
        <w:t>No further action</w:t>
      </w:r>
    </w:p>
    <w:p w14:paraId="427BD435" w14:textId="236B954F" w:rsidR="007C3F17" w:rsidRDefault="007C3F17" w:rsidP="007C3F17">
      <w:pPr>
        <w:pStyle w:val="BodyText"/>
      </w:pPr>
      <w:r>
        <w:t xml:space="preserve">No further action may apply if the DSI or PSI has determined that PFAS were never used or are highly unlikely to be present on a site. The DSI may show that PFAS are not present, or only at concentrations below health or environmental guidelines. These sites could be considered not to pose a risk and, as </w:t>
      </w:r>
      <w:r w:rsidR="00E97096">
        <w:t xml:space="preserve">figure </w:t>
      </w:r>
      <w:r>
        <w:t>1 shows, no further action by the landowner is required at that time. However, a DSI may identify other contaminants at the site, which may require action.</w:t>
      </w:r>
    </w:p>
    <w:p w14:paraId="2388D0BE" w14:textId="77777777" w:rsidR="00C76EB6" w:rsidRDefault="00C76EB6">
      <w:pPr>
        <w:spacing w:before="0" w:after="200" w:line="276" w:lineRule="auto"/>
        <w:jc w:val="left"/>
      </w:pPr>
      <w:r>
        <w:br w:type="page"/>
      </w:r>
    </w:p>
    <w:p w14:paraId="52BCDA8B" w14:textId="77777777" w:rsidR="00C76EB6" w:rsidRDefault="00C76EB6" w:rsidP="00C76EB6">
      <w:pPr>
        <w:pStyle w:val="Heading1"/>
      </w:pPr>
      <w:bookmarkStart w:id="11" w:name="_Toc7533402"/>
      <w:r>
        <w:lastRenderedPageBreak/>
        <w:t>Remediation or mitigation</w:t>
      </w:r>
      <w:bookmarkEnd w:id="11"/>
      <w:r>
        <w:t xml:space="preserve"> </w:t>
      </w:r>
    </w:p>
    <w:p w14:paraId="3218F850" w14:textId="4BD69D4A" w:rsidR="00C76EB6" w:rsidRDefault="00C76EB6" w:rsidP="00C76EB6">
      <w:pPr>
        <w:pStyle w:val="BodyText"/>
      </w:pPr>
      <w:r>
        <w:t xml:space="preserve">If remediation or mitigation is planned or required, landowners should seek direction in an </w:t>
      </w:r>
      <w:r w:rsidR="00E97096">
        <w:t>assessment of remedial options (</w:t>
      </w:r>
      <w:r>
        <w:t>ARO</w:t>
      </w:r>
      <w:r w:rsidR="00E97096">
        <w:t>)</w:t>
      </w:r>
      <w:r>
        <w:t>, and discuss this with councils. They should also consider the risks and benefits, as well as costs and funding. Councils may need to assess legal and consenting requirements.</w:t>
      </w:r>
    </w:p>
    <w:p w14:paraId="02FAEB89" w14:textId="28C7D0DF" w:rsidR="00C76EB6" w:rsidRDefault="00C76EB6" w:rsidP="00C76EB6">
      <w:pPr>
        <w:pStyle w:val="BodyText"/>
      </w:pPr>
      <w:r>
        <w:t>Councils should be given the ARO, including the justification for a</w:t>
      </w:r>
      <w:r w:rsidR="00D4221C">
        <w:t xml:space="preserve">ny response, and include it on </w:t>
      </w:r>
      <w:r>
        <w:t>HAIL registers and other records.</w:t>
      </w:r>
    </w:p>
    <w:p w14:paraId="6F2A8B68" w14:textId="77777777" w:rsidR="00C76EB6" w:rsidRDefault="00C76EB6" w:rsidP="00C76EB6">
      <w:pPr>
        <w:pStyle w:val="Heading2"/>
      </w:pPr>
      <w:bookmarkStart w:id="12" w:name="_Toc7533403"/>
      <w:r>
        <w:t>Assessment of remedial options (ARO)</w:t>
      </w:r>
      <w:bookmarkEnd w:id="12"/>
    </w:p>
    <w:p w14:paraId="4E330E2B" w14:textId="77777777" w:rsidR="00C76EB6" w:rsidRDefault="00C76EB6" w:rsidP="00C76EB6">
      <w:pPr>
        <w:pStyle w:val="BodyText"/>
      </w:pPr>
      <w:r>
        <w:t xml:space="preserve">If a DSI shows that PFAS are present at or above the guidelines, and that complete pathways exist, these sites may require management and/or remedial action to prevent contaminant exposure to receptors. Responses may involve one or more of these actions: </w:t>
      </w:r>
    </w:p>
    <w:p w14:paraId="17B35C11" w14:textId="77777777" w:rsidR="00C76EB6" w:rsidRDefault="00C76EB6" w:rsidP="00C76EB6">
      <w:pPr>
        <w:pStyle w:val="Bullet"/>
      </w:pPr>
      <w:r>
        <w:t>no action</w:t>
      </w:r>
    </w:p>
    <w:p w14:paraId="56DFC6D9" w14:textId="77777777" w:rsidR="00C76EB6" w:rsidRDefault="00C76EB6" w:rsidP="00C76EB6">
      <w:pPr>
        <w:pStyle w:val="Bullet"/>
      </w:pPr>
      <w:r>
        <w:t>ongoing site management plans</w:t>
      </w:r>
    </w:p>
    <w:p w14:paraId="61DC6865" w14:textId="77777777" w:rsidR="00C76EB6" w:rsidRDefault="00C76EB6" w:rsidP="00C76EB6">
      <w:pPr>
        <w:pStyle w:val="Bullet"/>
      </w:pPr>
      <w:r>
        <w:t xml:space="preserve">site remediation. </w:t>
      </w:r>
    </w:p>
    <w:p w14:paraId="5F9DC44E" w14:textId="77777777" w:rsidR="00C76EB6" w:rsidRDefault="00C76EB6" w:rsidP="00C76EB6">
      <w:pPr>
        <w:pStyle w:val="BodyText"/>
      </w:pPr>
      <w:r>
        <w:t>The ARO sets out the process for remediation. It includes setting goals and identifying ways to treat or remove the contaminants, or break pathways at the site. The practical, technical and fiscal benefits and drawbacks of each approach should be identified, assessed and documented. The ARO allows councils and landowners to understand and compare each option.</w:t>
      </w:r>
    </w:p>
    <w:p w14:paraId="4280C777" w14:textId="77777777" w:rsidR="00C76EB6" w:rsidRDefault="00C76EB6" w:rsidP="00C76EB6">
      <w:pPr>
        <w:pStyle w:val="BodyText"/>
      </w:pPr>
      <w:r>
        <w:t>The response should suit the risks, and address identified and predictable future scenarios. If appropriate, provisions in the regional plan. If any works must comply with the NES, these will be permitted through the standard NES process.</w:t>
      </w:r>
    </w:p>
    <w:p w14:paraId="617105FB" w14:textId="77777777" w:rsidR="00C76EB6" w:rsidRDefault="00C76EB6" w:rsidP="00C76EB6">
      <w:pPr>
        <w:pStyle w:val="Heading2"/>
      </w:pPr>
      <w:bookmarkStart w:id="13" w:name="_Toc7533404"/>
      <w:r>
        <w:t>Ongoing site management plan (OSMP)</w:t>
      </w:r>
      <w:bookmarkEnd w:id="13"/>
    </w:p>
    <w:p w14:paraId="47FF61A6" w14:textId="77777777" w:rsidR="00C76EB6" w:rsidRDefault="00C76EB6" w:rsidP="00C76EB6">
      <w:pPr>
        <w:pStyle w:val="BodyText"/>
      </w:pPr>
      <w:r>
        <w:t xml:space="preserve">The OSMP will be site-specific and could include long-term monitoring and detailed on-site controls to manage risks from residual contamination. </w:t>
      </w:r>
    </w:p>
    <w:p w14:paraId="2B51F3A0" w14:textId="77777777" w:rsidR="00C76EB6" w:rsidRDefault="00C76EB6" w:rsidP="00C76EB6">
      <w:pPr>
        <w:pStyle w:val="BodyText"/>
      </w:pPr>
      <w:r>
        <w:t>The aim of an OSMP is to:</w:t>
      </w:r>
    </w:p>
    <w:p w14:paraId="01FBFE32" w14:textId="77777777" w:rsidR="00C76EB6" w:rsidRDefault="00C76EB6" w:rsidP="00C76EB6">
      <w:pPr>
        <w:pStyle w:val="Bullet"/>
      </w:pPr>
      <w:r>
        <w:t xml:space="preserve">control activities on or around sites where contamination has been identified but does not require remedial action, or on remediated sites with residual contamination </w:t>
      </w:r>
    </w:p>
    <w:p w14:paraId="3B537910" w14:textId="77777777" w:rsidR="00C76EB6" w:rsidRDefault="00C76EB6" w:rsidP="00C76EB6">
      <w:pPr>
        <w:pStyle w:val="Bullet"/>
      </w:pPr>
      <w:r>
        <w:t xml:space="preserve">document analysis and reporting requirements, sampling methods and frequency of long-term monitoring. </w:t>
      </w:r>
    </w:p>
    <w:p w14:paraId="0C583DCC" w14:textId="77777777" w:rsidR="00C76EB6" w:rsidRDefault="00C76EB6" w:rsidP="00C76EB6">
      <w:pPr>
        <w:pStyle w:val="BodyText"/>
      </w:pPr>
      <w:r>
        <w:t>On-site controls are designed to ensure that activities avoid:</w:t>
      </w:r>
    </w:p>
    <w:p w14:paraId="30478391" w14:textId="77777777" w:rsidR="00C76EB6" w:rsidRDefault="00C76EB6" w:rsidP="00C76EB6">
      <w:pPr>
        <w:pStyle w:val="Bullet"/>
      </w:pPr>
      <w:r>
        <w:t>exposing workers or site occupants to contaminated soil or groundwater</w:t>
      </w:r>
    </w:p>
    <w:p w14:paraId="428F1DF4" w14:textId="77777777" w:rsidR="00C76EB6" w:rsidRDefault="00C76EB6" w:rsidP="00C76EB6">
      <w:pPr>
        <w:pStyle w:val="Bullet"/>
      </w:pPr>
      <w:r>
        <w:t>uncontrolled movement of contaminated soil or other media</w:t>
      </w:r>
    </w:p>
    <w:p w14:paraId="077CF009" w14:textId="77777777" w:rsidR="00C76EB6" w:rsidRDefault="00C76EB6" w:rsidP="00C76EB6">
      <w:pPr>
        <w:pStyle w:val="Bullet"/>
      </w:pPr>
      <w:r>
        <w:t>contamination of groundwater</w:t>
      </w:r>
    </w:p>
    <w:p w14:paraId="5F114D4E" w14:textId="77777777" w:rsidR="00C76EB6" w:rsidRDefault="00C76EB6" w:rsidP="00C76EB6">
      <w:pPr>
        <w:pStyle w:val="Bullet"/>
      </w:pPr>
      <w:r>
        <w:t>inappropriate disposal of contaminated soil or groundwater.</w:t>
      </w:r>
    </w:p>
    <w:p w14:paraId="35CF807A" w14:textId="77777777" w:rsidR="00C76EB6" w:rsidRDefault="00C76EB6" w:rsidP="00C76EB6">
      <w:pPr>
        <w:pStyle w:val="BodyText"/>
      </w:pPr>
      <w:r>
        <w:lastRenderedPageBreak/>
        <w:t xml:space="preserve">The purpose of long-term monitoring is to: </w:t>
      </w:r>
    </w:p>
    <w:p w14:paraId="7480ABAC" w14:textId="77777777" w:rsidR="00C76EB6" w:rsidRDefault="00C76EB6" w:rsidP="00C76EB6">
      <w:pPr>
        <w:pStyle w:val="Bullet"/>
      </w:pPr>
      <w:r>
        <w:t>measure any changes in the contamination</w:t>
      </w:r>
    </w:p>
    <w:p w14:paraId="0746E025" w14:textId="77777777" w:rsidR="00C76EB6" w:rsidRDefault="00C76EB6" w:rsidP="00C76EB6">
      <w:pPr>
        <w:pStyle w:val="Bullet"/>
      </w:pPr>
      <w:r>
        <w:t xml:space="preserve">alert landowners to any potential changes in exposure to new and existing receptors. </w:t>
      </w:r>
    </w:p>
    <w:p w14:paraId="4511AC41" w14:textId="77777777" w:rsidR="00386F66" w:rsidRDefault="00386F66" w:rsidP="00386F66">
      <w:pPr>
        <w:pStyle w:val="Heading3"/>
      </w:pPr>
      <w:r>
        <w:t>Remedial action plan (RAP)</w:t>
      </w:r>
    </w:p>
    <w:p w14:paraId="520A1806" w14:textId="77777777" w:rsidR="00386F66" w:rsidRDefault="00386F66" w:rsidP="00386F66">
      <w:pPr>
        <w:pStyle w:val="BodyText"/>
      </w:pPr>
      <w:r>
        <w:t xml:space="preserve">An RAP is needed if the DSI recommends remediation.  </w:t>
      </w:r>
    </w:p>
    <w:p w14:paraId="684872EC" w14:textId="77777777" w:rsidR="00386F66" w:rsidRDefault="00386F66" w:rsidP="00386F66">
      <w:pPr>
        <w:pStyle w:val="BodyText"/>
      </w:pPr>
      <w:r>
        <w:t>The RAP is used to plan the remediation and management, to reduce the risk from contaminants. It should set out the tasks and resources to carry out the action in the ARO. The plan should document:</w:t>
      </w:r>
    </w:p>
    <w:p w14:paraId="3E6DB248" w14:textId="77777777" w:rsidR="00386F66" w:rsidRDefault="00386F66" w:rsidP="00386F66">
      <w:pPr>
        <w:pStyle w:val="Bullet"/>
      </w:pPr>
      <w:r>
        <w:t>the goals, objectives and strategies of remedial works</w:t>
      </w:r>
    </w:p>
    <w:p w14:paraId="115D593D" w14:textId="77777777" w:rsidR="00386F66" w:rsidRDefault="00386F66" w:rsidP="00386F66">
      <w:pPr>
        <w:pStyle w:val="Bullet"/>
      </w:pPr>
      <w:r>
        <w:t xml:space="preserve">the proposed action </w:t>
      </w:r>
    </w:p>
    <w:p w14:paraId="45352DE9" w14:textId="77777777" w:rsidR="00386F66" w:rsidRDefault="00386F66" w:rsidP="00386F66">
      <w:pPr>
        <w:pStyle w:val="Bullet"/>
      </w:pPr>
      <w:r>
        <w:t>health, safety and environmental risks</w:t>
      </w:r>
    </w:p>
    <w:p w14:paraId="242F18B1" w14:textId="77777777" w:rsidR="00386F66" w:rsidRDefault="00386F66" w:rsidP="00386F66">
      <w:pPr>
        <w:pStyle w:val="Bullet"/>
      </w:pPr>
      <w:r>
        <w:t>the validation testing, monitoring or inspection to show that remediation was successful</w:t>
      </w:r>
    </w:p>
    <w:p w14:paraId="3DD2F7FF" w14:textId="77777777" w:rsidR="00386F66" w:rsidRDefault="00386F66" w:rsidP="00386F66">
      <w:pPr>
        <w:pStyle w:val="Bullet"/>
      </w:pPr>
      <w:r>
        <w:t xml:space="preserve">the legal requirements, including the NES, rules in regional and district plans, and conditions of resource consent </w:t>
      </w:r>
    </w:p>
    <w:p w14:paraId="6180C63B" w14:textId="77777777" w:rsidR="00386F66" w:rsidRDefault="00386F66" w:rsidP="00386F66">
      <w:pPr>
        <w:pStyle w:val="Bullet"/>
      </w:pPr>
      <w:r>
        <w:t>who is responsible for the actions within a timeframe.</w:t>
      </w:r>
    </w:p>
    <w:p w14:paraId="2441A20C" w14:textId="77777777" w:rsidR="00386F66" w:rsidRDefault="00386F66" w:rsidP="00386F66">
      <w:pPr>
        <w:pStyle w:val="BodyText"/>
      </w:pPr>
      <w:r>
        <w:t xml:space="preserve">After remediation, there is generally a site validation report to confirm the RAP targets have been met. </w:t>
      </w:r>
    </w:p>
    <w:p w14:paraId="04F26D52" w14:textId="77777777" w:rsidR="00386F66" w:rsidRDefault="00386F66" w:rsidP="00386F66">
      <w:pPr>
        <w:pStyle w:val="BodyText"/>
      </w:pPr>
      <w:r>
        <w:t>Responses may require agreements and resource consents from affected parties and regulators. Regulators will need to authorise activities that are regulated by the RMA and the</w:t>
      </w:r>
      <w:r w:rsidR="00901E81">
        <w:t> </w:t>
      </w:r>
      <w:r>
        <w:t>NES. These could include:</w:t>
      </w:r>
    </w:p>
    <w:p w14:paraId="635896CA" w14:textId="77777777" w:rsidR="00386F66" w:rsidRDefault="00386F66" w:rsidP="00386F66">
      <w:pPr>
        <w:pStyle w:val="Bullet"/>
      </w:pPr>
      <w:r>
        <w:t>monitoring schedules</w:t>
      </w:r>
    </w:p>
    <w:p w14:paraId="589D9F78" w14:textId="77777777" w:rsidR="00386F66" w:rsidRDefault="00386F66" w:rsidP="00386F66">
      <w:pPr>
        <w:pStyle w:val="Bullet"/>
      </w:pPr>
      <w:r>
        <w:t>sampling and remediation standards</w:t>
      </w:r>
    </w:p>
    <w:p w14:paraId="31FBA180" w14:textId="77777777" w:rsidR="00386F66" w:rsidRDefault="00386F66" w:rsidP="00386F66">
      <w:pPr>
        <w:pStyle w:val="Bullet"/>
      </w:pPr>
      <w:r>
        <w:t>details of remediation methods</w:t>
      </w:r>
    </w:p>
    <w:p w14:paraId="1D6F7C5A" w14:textId="77777777" w:rsidR="00386F66" w:rsidRDefault="00386F66" w:rsidP="00386F66">
      <w:pPr>
        <w:pStyle w:val="Bullet"/>
      </w:pPr>
      <w:r>
        <w:t>access to land</w:t>
      </w:r>
    </w:p>
    <w:p w14:paraId="59023BCC" w14:textId="77777777" w:rsidR="00386F66" w:rsidRDefault="00386F66" w:rsidP="00386F66">
      <w:pPr>
        <w:pStyle w:val="Bullet"/>
      </w:pPr>
      <w:r>
        <w:t>reporting requirements</w:t>
      </w:r>
    </w:p>
    <w:p w14:paraId="45BCD64E" w14:textId="77777777" w:rsidR="00386F66" w:rsidRDefault="00386F66" w:rsidP="00386F66">
      <w:pPr>
        <w:pStyle w:val="Bullet"/>
      </w:pPr>
      <w:r>
        <w:t>monitoring well installation</w:t>
      </w:r>
    </w:p>
    <w:p w14:paraId="787635F7" w14:textId="77777777" w:rsidR="00386F66" w:rsidRDefault="00386F66" w:rsidP="00386F66">
      <w:pPr>
        <w:pStyle w:val="Bullet"/>
      </w:pPr>
      <w:r>
        <w:t>soil disturbance</w:t>
      </w:r>
    </w:p>
    <w:p w14:paraId="6A013772" w14:textId="77777777" w:rsidR="00386F66" w:rsidRDefault="00386F66" w:rsidP="00386F66">
      <w:pPr>
        <w:pStyle w:val="Bullet"/>
      </w:pPr>
      <w:r>
        <w:t>sediment controls</w:t>
      </w:r>
    </w:p>
    <w:p w14:paraId="4BB8EDD9" w14:textId="77777777" w:rsidR="00386F66" w:rsidRDefault="00386F66" w:rsidP="00386F66">
      <w:pPr>
        <w:pStyle w:val="Bullet"/>
      </w:pPr>
      <w:r>
        <w:t xml:space="preserve">air discharges. </w:t>
      </w:r>
    </w:p>
    <w:p w14:paraId="10898B15" w14:textId="77777777" w:rsidR="00386F66" w:rsidRDefault="00386F66" w:rsidP="00386F66">
      <w:pPr>
        <w:pStyle w:val="BodyText"/>
      </w:pPr>
      <w:r>
        <w:t>If contamination has migrated beyond the site boundaries, monitoring and managing this may require a broader action plan. Councils and landowners need to agree on this, to ensure the best course of action.</w:t>
      </w:r>
    </w:p>
    <w:p w14:paraId="07A951AA" w14:textId="77777777" w:rsidR="00386F66" w:rsidRDefault="00386F66" w:rsidP="00386F66">
      <w:pPr>
        <w:pStyle w:val="Heading3"/>
      </w:pPr>
      <w:r>
        <w:t>Initiating action</w:t>
      </w:r>
    </w:p>
    <w:p w14:paraId="05AEA09B" w14:textId="77777777" w:rsidR="00386F66" w:rsidRDefault="00386F66" w:rsidP="00386F66">
      <w:pPr>
        <w:pStyle w:val="BodyText"/>
      </w:pPr>
      <w:r>
        <w:t xml:space="preserve">The RMA must be considered when actual or likely adverse effects on the environment require action. The regulatory process is clear for sites where the NES applies. </w:t>
      </w:r>
    </w:p>
    <w:p w14:paraId="1754167B" w14:textId="77777777" w:rsidR="00386F66" w:rsidRDefault="00386F66" w:rsidP="00CA19E2">
      <w:pPr>
        <w:pStyle w:val="BodyText"/>
      </w:pPr>
      <w:r>
        <w:lastRenderedPageBreak/>
        <w:t xml:space="preserve">Regional plans have rules about discharges. Regional councils need to assess compliance, to determine whether there has been a breach of rules, and whether to enforce them. </w:t>
      </w:r>
    </w:p>
    <w:p w14:paraId="0FEF1AB1" w14:textId="77777777" w:rsidR="00386F66" w:rsidRDefault="00386F66" w:rsidP="00386F66">
      <w:pPr>
        <w:pStyle w:val="BodyText"/>
      </w:pPr>
      <w:r>
        <w:t xml:space="preserve">If an action does not comply with the RMA, regional/district plan rules, or resource consent, the council may consider taking enforcement action against the landowner/polluter. </w:t>
      </w:r>
    </w:p>
    <w:p w14:paraId="62DFC001" w14:textId="77777777" w:rsidR="00386F66" w:rsidRDefault="00386F66" w:rsidP="00386F66">
      <w:pPr>
        <w:pStyle w:val="BodyText"/>
      </w:pPr>
      <w:r>
        <w:t xml:space="preserve">To ensure any risks to health or the environment are managed, an application can be made to the Environment Court for an enforcement order under section 319 of the RMA, or an interim order under section 320. </w:t>
      </w:r>
    </w:p>
    <w:p w14:paraId="3CD5E00C" w14:textId="77777777" w:rsidR="00422B3A" w:rsidRDefault="00422B3A" w:rsidP="00422B3A">
      <w:pPr>
        <w:pStyle w:val="Heading2"/>
      </w:pPr>
      <w:bookmarkStart w:id="14" w:name="_Toc7533405"/>
      <w:r>
        <w:t>Councils may investigate or take enforcement action</w:t>
      </w:r>
      <w:bookmarkEnd w:id="14"/>
    </w:p>
    <w:p w14:paraId="74010599" w14:textId="35D4242C" w:rsidR="00422B3A" w:rsidRDefault="00422B3A" w:rsidP="00422B3A">
      <w:pPr>
        <w:pStyle w:val="Bullet"/>
        <w:spacing w:before="120"/>
      </w:pPr>
      <w:r>
        <w:t xml:space="preserve">Regional councils have a duty under section 30(1)(ca) of the RMA to investigate land, to identify contaminated land. </w:t>
      </w:r>
    </w:p>
    <w:p w14:paraId="6640A53B" w14:textId="77777777" w:rsidR="00422B3A" w:rsidRDefault="00422B3A" w:rsidP="00422B3A">
      <w:pPr>
        <w:pStyle w:val="Bullet"/>
      </w:pPr>
      <w:r>
        <w:t xml:space="preserve">Section 332 of the RMA authorises entry onto private property by enforcement officers for the purpose of inspection to determine compliance, including taking samples of water, soil or organic matter. This section does not apply where the officer already has reasonable grounds to believe that the RMA has been breached. In this case, the council needs a search warrant to enter a property. </w:t>
      </w:r>
    </w:p>
    <w:p w14:paraId="590FC2F1" w14:textId="77777777" w:rsidR="00422B3A" w:rsidRDefault="00422B3A" w:rsidP="00422B3A">
      <w:pPr>
        <w:pStyle w:val="Bullet"/>
      </w:pPr>
      <w:r>
        <w:t xml:space="preserve">If a council has reason to believe a piece of land is contaminated, it may require an investigation to assess the level and extent of the contamination in the soil and groundwater, to inform any further course of action (RMA section 322 (1)(b)(ii)). </w:t>
      </w:r>
    </w:p>
    <w:p w14:paraId="4CB670B7" w14:textId="77777777" w:rsidR="00422B3A" w:rsidRDefault="00422B3A" w:rsidP="00422B3A">
      <w:pPr>
        <w:pStyle w:val="Bullet"/>
      </w:pPr>
      <w:r>
        <w:t>The council may be able to conduct testing on private land adjoining land where a contaminant may have been discharged, and further afield. This could be done as part of a survey if the council considers that a district or regional plan should be reviewed in light of contamination identified on land (RMA section 333).</w:t>
      </w:r>
    </w:p>
    <w:p w14:paraId="0E0EFC2B" w14:textId="77777777" w:rsidR="00422B3A" w:rsidRDefault="00422B3A" w:rsidP="00422B3A">
      <w:pPr>
        <w:pStyle w:val="Bullet"/>
      </w:pPr>
      <w:r>
        <w:t>Any person may apply for an enforcement order from the Environment Court on any grounds set out in section 314. These include the requirement to ensure compliance with</w:t>
      </w:r>
      <w:r w:rsidR="008278F3">
        <w:t> </w:t>
      </w:r>
      <w:r>
        <w:t>the RMA, any regulations, a rule in a plan or proposed plan, or a resource consent. If</w:t>
      </w:r>
      <w:r w:rsidR="008278F3">
        <w:t> </w:t>
      </w:r>
      <w:r>
        <w:t>an enforcement order is sought against a Crown organisation, a council must apply to the court.</w:t>
      </w:r>
      <w:r>
        <w:rPr>
          <w:rStyle w:val="FootnoteReference"/>
        </w:rPr>
        <w:footnoteReference w:id="1"/>
      </w:r>
    </w:p>
    <w:p w14:paraId="6FECAF5F" w14:textId="77777777" w:rsidR="007C3F17" w:rsidRDefault="00422B3A" w:rsidP="00422B3A">
      <w:pPr>
        <w:pStyle w:val="Bullet"/>
      </w:pPr>
      <w:r>
        <w:t>RMA enforcement officers (warranted under the HSNO Act) are empowered to take enforcement action under the HSNO Act if they are in or on private property to enforce the RMA (section 97 (1)(h) and section 97(2)).</w:t>
      </w:r>
    </w:p>
    <w:p w14:paraId="6610C0BA" w14:textId="77777777" w:rsidR="00422B3A" w:rsidRDefault="00422B3A" w:rsidP="00422B3A">
      <w:pPr>
        <w:pStyle w:val="Heading3"/>
      </w:pPr>
      <w:r>
        <w:t>Other agencies may also take action</w:t>
      </w:r>
    </w:p>
    <w:p w14:paraId="2BBE8B18" w14:textId="77777777" w:rsidR="00422B3A" w:rsidRDefault="00422B3A" w:rsidP="00422B3A">
      <w:pPr>
        <w:pStyle w:val="BodyText"/>
      </w:pPr>
      <w:r>
        <w:t xml:space="preserve">The Ministry for Primary Industries may give direction if it reasonably suspects the existence of a hazard or a source of contamination that may affect food, or anything that may become food, that imposes movement or related controls to determine, minimise, manage, or control the risk to human life or public health created by the suspected non-compliance or suspected existence of the hazard or the source of contamination. </w:t>
      </w:r>
    </w:p>
    <w:p w14:paraId="47EAE44C" w14:textId="77777777" w:rsidR="00422B3A" w:rsidRDefault="00422B3A" w:rsidP="00422B3A">
      <w:pPr>
        <w:pStyle w:val="Heading3"/>
      </w:pPr>
      <w:r>
        <w:lastRenderedPageBreak/>
        <w:t>Roles and responsibilities</w:t>
      </w:r>
    </w:p>
    <w:p w14:paraId="19450384" w14:textId="05BA323C" w:rsidR="00422B3A" w:rsidRDefault="00422B3A" w:rsidP="00422B3A">
      <w:pPr>
        <w:pStyle w:val="BodyText"/>
      </w:pPr>
      <w:r>
        <w:t>In general, the landowner/polluter is responsible and accountable for all stages of the investigation, including mitigation or remediation. If such action is taken, councils should</w:t>
      </w:r>
      <w:r w:rsidR="008278F3">
        <w:t> </w:t>
      </w:r>
      <w:r>
        <w:t>be</w:t>
      </w:r>
      <w:r w:rsidR="008278F3">
        <w:t> </w:t>
      </w:r>
      <w:r>
        <w:t xml:space="preserve">kept informed. For more information, see </w:t>
      </w:r>
      <w:hyperlink r:id="rId32" w:history="1">
        <w:r w:rsidRPr="00E97096">
          <w:rPr>
            <w:rStyle w:val="Hyperlink"/>
            <w:i/>
          </w:rPr>
          <w:t>National PFAS Programme Roles and</w:t>
        </w:r>
        <w:r w:rsidR="008278F3" w:rsidRPr="00E97096">
          <w:rPr>
            <w:rStyle w:val="Hyperlink"/>
            <w:i/>
          </w:rPr>
          <w:t> </w:t>
        </w:r>
        <w:r w:rsidRPr="00E97096">
          <w:rPr>
            <w:rStyle w:val="Hyperlink"/>
            <w:i/>
          </w:rPr>
          <w:t>Responsibilities</w:t>
        </w:r>
      </w:hyperlink>
      <w:r>
        <w:t>.</w:t>
      </w:r>
    </w:p>
    <w:p w14:paraId="07A49282" w14:textId="4161E1B0" w:rsidR="00422B3A" w:rsidRDefault="00422B3A" w:rsidP="00422B3A">
      <w:pPr>
        <w:pStyle w:val="BodyText"/>
      </w:pPr>
      <w:r>
        <w:t xml:space="preserve">Broader agreements should clarify the roles and responsibilities of stakeholders – for example, a memorandum of understanding or terms of reference. </w:t>
      </w:r>
    </w:p>
    <w:p w14:paraId="4F953781" w14:textId="046EC99F" w:rsidR="00422B3A" w:rsidRDefault="00422B3A" w:rsidP="00422B3A">
      <w:pPr>
        <w:pStyle w:val="BodyText"/>
      </w:pPr>
      <w:r>
        <w:t>Territorial authorities have statutory responsibility for requests for a land information memorandum or project information memorandum. This refers to the requirement to disclose information on the land, including the likely presence of hazardous</w:t>
      </w:r>
      <w:r w:rsidR="008278F3">
        <w:t> </w:t>
      </w:r>
      <w:r>
        <w:t>contaminants.</w:t>
      </w:r>
    </w:p>
    <w:p w14:paraId="2A7F2522" w14:textId="77777777" w:rsidR="00422B3A" w:rsidRDefault="00422B3A" w:rsidP="00422B3A">
      <w:pPr>
        <w:pStyle w:val="BodyText"/>
      </w:pPr>
      <w:r>
        <w:t>Regional councils and territorial authorities are subject to the Local Government Official Information and Meetings Act 1987. Individuals can request information on investigations in the council’s region or district.</w:t>
      </w:r>
    </w:p>
    <w:p w14:paraId="6AC057F3" w14:textId="77777777" w:rsidR="00422B3A" w:rsidRDefault="00422B3A">
      <w:pPr>
        <w:spacing w:before="0" w:after="200" w:line="276" w:lineRule="auto"/>
        <w:jc w:val="left"/>
      </w:pPr>
      <w:r>
        <w:br w:type="page"/>
      </w:r>
    </w:p>
    <w:p w14:paraId="6FFAF3DE" w14:textId="77777777" w:rsidR="00F03393" w:rsidRDefault="00F03393" w:rsidP="00F03393">
      <w:pPr>
        <w:pStyle w:val="Heading1"/>
      </w:pPr>
      <w:bookmarkStart w:id="15" w:name="_Toc7533406"/>
      <w:r>
        <w:lastRenderedPageBreak/>
        <w:t>Funding</w:t>
      </w:r>
      <w:bookmarkEnd w:id="15"/>
      <w:r>
        <w:t xml:space="preserve"> </w:t>
      </w:r>
    </w:p>
    <w:p w14:paraId="096A8FC0" w14:textId="77777777" w:rsidR="00F03393" w:rsidRDefault="00F03393" w:rsidP="00F03393">
      <w:pPr>
        <w:pStyle w:val="Heading2"/>
        <w:spacing w:before="240"/>
      </w:pPr>
      <w:bookmarkStart w:id="16" w:name="_Toc7533407"/>
      <w:r>
        <w:t>Responsibility</w:t>
      </w:r>
      <w:bookmarkEnd w:id="16"/>
      <w:r>
        <w:t xml:space="preserve"> </w:t>
      </w:r>
    </w:p>
    <w:p w14:paraId="58197537" w14:textId="3719F465" w:rsidR="00F03393" w:rsidRDefault="00F03393" w:rsidP="00F03393">
      <w:pPr>
        <w:pStyle w:val="BodyText"/>
      </w:pPr>
      <w:r>
        <w:t xml:space="preserve">Under the RMA, the landowner or the polluter is generally responsible for managing land contamination, and therefore the funding for any investigation and response. Councils will act as regulator if there is a breach of local statutes or legislation. Councils will also need to authorise activities controlled under the </w:t>
      </w:r>
      <w:r w:rsidR="00E97096">
        <w:t>Resource Management Act</w:t>
      </w:r>
      <w:r>
        <w:t xml:space="preserve">, </w:t>
      </w:r>
      <w:r w:rsidR="00E97096" w:rsidRPr="00E97096">
        <w:t xml:space="preserve">National Environmental Standard for Assessing and Managing Contaminants in Soil to Protect Human Health </w:t>
      </w:r>
      <w:r w:rsidR="00E97096">
        <w:t>(</w:t>
      </w:r>
      <w:r>
        <w:t>NES</w:t>
      </w:r>
      <w:r w:rsidR="00E97096">
        <w:t>)</w:t>
      </w:r>
      <w:r>
        <w:t xml:space="preserve"> and regional or district plans. </w:t>
      </w:r>
    </w:p>
    <w:p w14:paraId="63B2AF39" w14:textId="77777777" w:rsidR="00F03393" w:rsidRDefault="00F03393" w:rsidP="00F03393">
      <w:pPr>
        <w:pStyle w:val="BodyText"/>
      </w:pPr>
      <w:r>
        <w:t>For Crown land, the Crown organisation should fund any investigation and remedial action. If the cost is beyond the organisation’s scope, it can seek supplementary funding through the Public Finance Act 1989 and Cabinet directives. Such funding will be subject to approval by ministers and Cabinet.</w:t>
      </w:r>
    </w:p>
    <w:p w14:paraId="58F8FB4B" w14:textId="77777777" w:rsidR="00F03393" w:rsidRDefault="00F03393" w:rsidP="00F03393">
      <w:pPr>
        <w:pStyle w:val="BodyText"/>
      </w:pPr>
      <w:r>
        <w:t>Private and other public landowners are mainly responsible for the cost of addressing contamination on their sites. Other potential sources for landowners who are not responsible for contamination are outlined below.</w:t>
      </w:r>
    </w:p>
    <w:p w14:paraId="62CD4110" w14:textId="77777777" w:rsidR="00F03393" w:rsidRDefault="00F03393" w:rsidP="00F03393">
      <w:pPr>
        <w:pStyle w:val="Heading2"/>
      </w:pPr>
      <w:bookmarkStart w:id="17" w:name="_Toc7533408"/>
      <w:r>
        <w:t>Contaminated Sites Remediation Fund (CSRF)</w:t>
      </w:r>
      <w:bookmarkEnd w:id="17"/>
    </w:p>
    <w:p w14:paraId="7745F453" w14:textId="77777777" w:rsidR="00F03393" w:rsidRDefault="00F03393" w:rsidP="00F03393">
      <w:pPr>
        <w:pStyle w:val="BodyText"/>
      </w:pPr>
      <w:r>
        <w:t xml:space="preserve">The CSRF is available on a competitive basis through two annual funding rounds, subject to eligibility criteria. Applicants will be competing with other high-risk sites in New Zealand. There is a limited pool of about $2.6 million per financial year (subject to continued approval). </w:t>
      </w:r>
    </w:p>
    <w:p w14:paraId="51BB1B79" w14:textId="77777777" w:rsidR="00422B3A" w:rsidRDefault="00F03393" w:rsidP="00F03393">
      <w:pPr>
        <w:pStyle w:val="BodyText"/>
      </w:pPr>
      <w:r>
        <w:t>The CSRF is not typically available for Crown sites, except where the contamination was not caused by the Crown, and occurred before the site became Crown land.</w:t>
      </w:r>
    </w:p>
    <w:p w14:paraId="1219CC99" w14:textId="6DFA3C9D" w:rsidR="00F03393" w:rsidRDefault="007C4F27" w:rsidP="007C4F27">
      <w:pPr>
        <w:pStyle w:val="BodyText"/>
        <w:rPr>
          <w:rStyle w:val="Hyperlink"/>
        </w:rPr>
      </w:pPr>
      <w:r w:rsidRPr="007C4F27">
        <w:t xml:space="preserve">For more information, visit the Ministry for the Environment’s </w:t>
      </w:r>
      <w:hyperlink r:id="rId33" w:history="1">
        <w:r w:rsidRPr="007C4F27">
          <w:rPr>
            <w:rStyle w:val="Hyperlink"/>
          </w:rPr>
          <w:t>CSRF web pages</w:t>
        </w:r>
        <w:r w:rsidRPr="007C4F27">
          <w:rPr>
            <w:rStyle w:val="Hyperlink"/>
            <w:color w:val="auto"/>
          </w:rPr>
          <w:t>.</w:t>
        </w:r>
      </w:hyperlink>
      <w:r w:rsidRPr="007C4F27">
        <w:t xml:space="preserve"> </w:t>
      </w:r>
    </w:p>
    <w:p w14:paraId="02CAC2AE" w14:textId="77777777" w:rsidR="007C4F27" w:rsidRDefault="007C4F27" w:rsidP="007C4F27">
      <w:pPr>
        <w:pStyle w:val="Heading2"/>
      </w:pPr>
      <w:bookmarkStart w:id="18" w:name="_Toc7533409"/>
      <w:r w:rsidRPr="007C4F27">
        <w:t>Deductions for environmental expenditure</w:t>
      </w:r>
      <w:bookmarkEnd w:id="18"/>
    </w:p>
    <w:p w14:paraId="379B506C" w14:textId="32870A66" w:rsidR="007C4F27" w:rsidRPr="007C4F27" w:rsidRDefault="007C4F27" w:rsidP="008278F3">
      <w:pPr>
        <w:pStyle w:val="BodyText"/>
        <w:spacing w:after="0"/>
      </w:pPr>
      <w:r w:rsidRPr="00A07C78">
        <w:t xml:space="preserve">Tax deductions are available to business taxpayers for expenditure related to </w:t>
      </w:r>
      <w:r>
        <w:t xml:space="preserve">managing and remediating </w:t>
      </w:r>
      <w:r w:rsidRPr="00A07C78">
        <w:t xml:space="preserve">contaminated land. This may </w:t>
      </w:r>
      <w:r w:rsidR="00E97096">
        <w:t>help</w:t>
      </w:r>
      <w:r w:rsidR="00E97096" w:rsidRPr="00A07C78">
        <w:t xml:space="preserve"> </w:t>
      </w:r>
      <w:r w:rsidRPr="00A07C78">
        <w:t xml:space="preserve">private </w:t>
      </w:r>
      <w:r>
        <w:t>individual</w:t>
      </w:r>
      <w:r w:rsidRPr="00A07C78">
        <w:t xml:space="preserve">s who own contaminated </w:t>
      </w:r>
      <w:r w:rsidRPr="007C4F27">
        <w:t xml:space="preserve">land. For more information see the </w:t>
      </w:r>
      <w:hyperlink r:id="rId34" w:history="1">
        <w:r w:rsidRPr="007C4F27">
          <w:rPr>
            <w:rStyle w:val="Hyperlink"/>
          </w:rPr>
          <w:t>Inland Revenue website</w:t>
        </w:r>
      </w:hyperlink>
      <w:r w:rsidR="00E97096" w:rsidRPr="00E97096">
        <w:rPr>
          <w:rStyle w:val="Hyperlink"/>
          <w:color w:val="auto"/>
        </w:rPr>
        <w:t>.</w:t>
      </w:r>
    </w:p>
    <w:p w14:paraId="468F3B1A" w14:textId="77777777" w:rsidR="007C4F27" w:rsidRDefault="007C4F27" w:rsidP="007C4F27">
      <w:pPr>
        <w:pStyle w:val="Heading2"/>
      </w:pPr>
      <w:bookmarkStart w:id="19" w:name="_Toc7533410"/>
      <w:r>
        <w:t>Stakeholder engagement and risk communication</w:t>
      </w:r>
      <w:bookmarkEnd w:id="19"/>
    </w:p>
    <w:p w14:paraId="7FDB41E9" w14:textId="77777777" w:rsidR="007C4F27" w:rsidRPr="007C4F27" w:rsidRDefault="007C4F27" w:rsidP="007C4F27">
      <w:pPr>
        <w:pStyle w:val="BodyText"/>
      </w:pPr>
      <w:r>
        <w:t>Investigating sites affec</w:t>
      </w:r>
      <w:r w:rsidRPr="007C4F27">
        <w:t xml:space="preserve">ted by PFAS contamination can cause significant stress and uncertainty to stakeholders and property owners, as well as members of communities indirectly affected. </w:t>
      </w:r>
    </w:p>
    <w:p w14:paraId="197C9650" w14:textId="77777777" w:rsidR="007C4F27" w:rsidRDefault="007C4F27" w:rsidP="007C4F27">
      <w:pPr>
        <w:pStyle w:val="BodyText"/>
      </w:pPr>
      <w:r w:rsidRPr="007C4F27">
        <w:t>Where appropriate, a robu</w:t>
      </w:r>
      <w:r>
        <w:t>st stakeholder engagement and risk communication plan should be developed ahead of any investigation or remediation. This can be shared with stakeholders, including regional or territorial authorities.</w:t>
      </w:r>
    </w:p>
    <w:p w14:paraId="5B9F288B" w14:textId="04C8D9B3" w:rsidR="007C4F27" w:rsidRDefault="007C4F27" w:rsidP="007C4F27">
      <w:pPr>
        <w:pStyle w:val="BodyText"/>
      </w:pPr>
      <w:r>
        <w:lastRenderedPageBreak/>
        <w:t xml:space="preserve">An effective stakeholder engagement and risk communication plan gives clear, timely and accurate information to stakeholders and the community. A well-informed community is more likely </w:t>
      </w:r>
      <w:r w:rsidR="00E97096">
        <w:t xml:space="preserve">to </w:t>
      </w:r>
      <w:r>
        <w:t>support your project and reduce the spread of inaccurate or false information.</w:t>
      </w:r>
    </w:p>
    <w:p w14:paraId="4020E1F9" w14:textId="0BE7AC07" w:rsidR="007C4F27" w:rsidRPr="007C4F27" w:rsidRDefault="007C4F27" w:rsidP="001E52E9">
      <w:pPr>
        <w:pStyle w:val="BodyText"/>
        <w:spacing w:after="0"/>
      </w:pPr>
      <w:r w:rsidRPr="007C4F27">
        <w:t xml:space="preserve">Refer to the </w:t>
      </w:r>
      <w:hyperlink r:id="rId35" w:history="1">
        <w:r w:rsidRPr="00E97096">
          <w:rPr>
            <w:rStyle w:val="Hyperlink"/>
          </w:rPr>
          <w:t>PFAS Communication, Engagement and Information Sharing Guidelines</w:t>
        </w:r>
      </w:hyperlink>
      <w:r w:rsidRPr="007C4F27">
        <w:t xml:space="preserve"> for further information</w:t>
      </w:r>
      <w:r w:rsidR="00E97096">
        <w:t>.</w:t>
      </w:r>
    </w:p>
    <w:p w14:paraId="4889E413" w14:textId="77777777" w:rsidR="007C4F27" w:rsidRDefault="007C4F27" w:rsidP="007C4F27">
      <w:pPr>
        <w:pStyle w:val="Heading2"/>
      </w:pPr>
      <w:bookmarkStart w:id="20" w:name="_Toc7533411"/>
      <w:r>
        <w:t>Further information</w:t>
      </w:r>
      <w:bookmarkEnd w:id="20"/>
    </w:p>
    <w:p w14:paraId="6CFF85D7" w14:textId="77777777" w:rsidR="007C4F27" w:rsidRDefault="007C4F27" w:rsidP="007C4F27">
      <w:pPr>
        <w:pStyle w:val="BodyText"/>
      </w:pPr>
      <w:r>
        <w:t xml:space="preserve">These processes take the ‘business as usual’ approach to managing contaminated land. However, the All-of-Government PFAS Governance Group will, where requested, contribute to and help with decisions made using this process, until the All-of-Government programme ceases. However, the agencies will continue to advise and guide as needed. </w:t>
      </w:r>
    </w:p>
    <w:p w14:paraId="21BE7A40" w14:textId="4417459E" w:rsidR="007C4F27" w:rsidRDefault="007C4F27" w:rsidP="007C4F27">
      <w:pPr>
        <w:pStyle w:val="Bullet"/>
      </w:pPr>
      <w:r>
        <w:t xml:space="preserve">Visit the Ministry for the Environment </w:t>
      </w:r>
      <w:hyperlink r:id="rId36" w:history="1">
        <w:r w:rsidRPr="00E97096">
          <w:rPr>
            <w:rStyle w:val="Hyperlink"/>
          </w:rPr>
          <w:t>PFAS web</w:t>
        </w:r>
        <w:r w:rsidR="00E97096" w:rsidRPr="00E97096">
          <w:rPr>
            <w:rStyle w:val="Hyperlink"/>
          </w:rPr>
          <w:t xml:space="preserve"> </w:t>
        </w:r>
        <w:r w:rsidRPr="00E97096">
          <w:rPr>
            <w:rStyle w:val="Hyperlink"/>
          </w:rPr>
          <w:t>page</w:t>
        </w:r>
      </w:hyperlink>
    </w:p>
    <w:p w14:paraId="2364A784" w14:textId="77777777" w:rsidR="007C4F27" w:rsidRDefault="007C4F27" w:rsidP="007C4F27">
      <w:pPr>
        <w:pStyle w:val="Bullet"/>
      </w:pPr>
      <w:r>
        <w:t>Email: PFAS@mfe.govt.nz</w:t>
      </w:r>
    </w:p>
    <w:p w14:paraId="61D0B86E" w14:textId="77777777" w:rsidR="008278F3" w:rsidRPr="008278F3" w:rsidRDefault="008278F3" w:rsidP="008278F3">
      <w:pPr>
        <w:pStyle w:val="BodyText"/>
      </w:pPr>
      <w:r w:rsidRPr="008278F3">
        <w:br w:type="page"/>
      </w:r>
    </w:p>
    <w:p w14:paraId="1F403DB0" w14:textId="496FFB33" w:rsidR="00E750A6" w:rsidRDefault="00E750A6" w:rsidP="00E750A6">
      <w:pPr>
        <w:pStyle w:val="Heading1"/>
      </w:pPr>
      <w:bookmarkStart w:id="21" w:name="_Appendix_I:_PFAS"/>
      <w:bookmarkStart w:id="22" w:name="_Toc7533412"/>
      <w:bookmarkEnd w:id="21"/>
      <w:r w:rsidRPr="00891177">
        <w:lastRenderedPageBreak/>
        <w:t xml:space="preserve">Appendix: </w:t>
      </w:r>
      <w:r w:rsidR="0054287F">
        <w:t>Environmental guideline values</w:t>
      </w:r>
      <w:bookmarkEnd w:id="22"/>
    </w:p>
    <w:p w14:paraId="7E8B47B9" w14:textId="1194ACE1" w:rsidR="00E750A6" w:rsidRDefault="00E750A6" w:rsidP="00E750A6">
      <w:pPr>
        <w:pStyle w:val="BodyText"/>
      </w:pPr>
      <w:r w:rsidRPr="00451E42">
        <w:t xml:space="preserve">Taken from the </w:t>
      </w:r>
      <w:hyperlink r:id="rId37" w:history="1">
        <w:r w:rsidRPr="004217A4">
          <w:rPr>
            <w:rStyle w:val="Hyperlink"/>
          </w:rPr>
          <w:t>Heads of the Environmental Protection Authority PFAS N</w:t>
        </w:r>
        <w:r w:rsidR="0054287F">
          <w:rPr>
            <w:rStyle w:val="Hyperlink"/>
          </w:rPr>
          <w:t>ational Environmental Management</w:t>
        </w:r>
        <w:r w:rsidRPr="004217A4">
          <w:rPr>
            <w:rStyle w:val="Hyperlink"/>
          </w:rPr>
          <w:t xml:space="preserve"> Plan</w:t>
        </w:r>
      </w:hyperlink>
      <w:r w:rsidRPr="00451E42">
        <w:t xml:space="preserve"> dated January 2018</w:t>
      </w:r>
      <w:r>
        <w:t>, section 9, pages 13–16</w:t>
      </w:r>
      <w:r w:rsidR="00432E84" w:rsidRPr="00432E84">
        <w:rPr>
          <w:rStyle w:val="Hyperlink"/>
          <w:color w:val="auto"/>
        </w:rPr>
        <w:t>.</w:t>
      </w:r>
    </w:p>
    <w:p w14:paraId="404B8CA7" w14:textId="77777777" w:rsidR="006D5194" w:rsidRDefault="006D5194" w:rsidP="006D5194">
      <w:pPr>
        <w:pStyle w:val="BodyText"/>
        <w:spacing w:before="0" w:after="0"/>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111"/>
      </w:tblGrid>
      <w:tr w:rsidR="00BB739C" w14:paraId="4B7C6829" w14:textId="77777777" w:rsidTr="008278F3">
        <w:tc>
          <w:tcPr>
            <w:tcW w:w="8607" w:type="dxa"/>
            <w:gridSpan w:val="2"/>
          </w:tcPr>
          <w:p w14:paraId="2D5FB3AB" w14:textId="77777777" w:rsidR="00BB739C" w:rsidRDefault="00BB739C" w:rsidP="00BB739C">
            <w:pPr>
              <w:pStyle w:val="Heading4"/>
              <w:spacing w:before="120"/>
              <w:outlineLvl w:val="3"/>
            </w:pPr>
            <w:r>
              <w:rPr>
                <w:rFonts w:cs="Calibri"/>
              </w:rPr>
              <w:t>❽</w:t>
            </w:r>
            <w:r w:rsidRPr="004718E2">
              <w:t xml:space="preserve"> </w:t>
            </w:r>
            <w:r w:rsidRPr="006D5194">
              <w:rPr>
                <w:rFonts w:ascii="Arial" w:hAnsi="Arial" w:cs="Arial"/>
                <w:sz w:val="20"/>
              </w:rPr>
              <w:t>Environmental guideline values</w:t>
            </w:r>
          </w:p>
        </w:tc>
      </w:tr>
      <w:tr w:rsidR="006D5194" w14:paraId="0BDF325F" w14:textId="77777777" w:rsidTr="00BB739C">
        <w:tc>
          <w:tcPr>
            <w:tcW w:w="4390" w:type="dxa"/>
          </w:tcPr>
          <w:p w14:paraId="7EB4B9D8" w14:textId="77777777" w:rsidR="00BB739C" w:rsidRPr="006D5194" w:rsidRDefault="00BB739C" w:rsidP="00BB739C">
            <w:pPr>
              <w:pStyle w:val="BodyText"/>
              <w:spacing w:line="240" w:lineRule="atLeast"/>
              <w:rPr>
                <w:rFonts w:ascii="Arial" w:hAnsi="Arial" w:cs="Arial"/>
                <w:sz w:val="18"/>
                <w:szCs w:val="18"/>
              </w:rPr>
            </w:pPr>
            <w:r w:rsidRPr="006D5194">
              <w:rPr>
                <w:rFonts w:ascii="Arial" w:hAnsi="Arial" w:cs="Arial"/>
                <w:sz w:val="18"/>
                <w:szCs w:val="18"/>
              </w:rPr>
              <w:t>The following guideline values represent a nationally-agreed suite that should be used to inform site investigations.</w:t>
            </w:r>
          </w:p>
          <w:p w14:paraId="764A8236" w14:textId="77777777" w:rsidR="00BB739C" w:rsidRPr="006D5194" w:rsidRDefault="00BB739C" w:rsidP="00BB739C">
            <w:pPr>
              <w:pStyle w:val="BodyText"/>
              <w:spacing w:line="240" w:lineRule="atLeast"/>
              <w:rPr>
                <w:rFonts w:ascii="Arial" w:hAnsi="Arial" w:cs="Arial"/>
                <w:sz w:val="18"/>
                <w:szCs w:val="18"/>
              </w:rPr>
            </w:pPr>
            <w:r w:rsidRPr="006D5194">
              <w:rPr>
                <w:rFonts w:ascii="Arial" w:hAnsi="Arial" w:cs="Arial"/>
                <w:sz w:val="18"/>
                <w:szCs w:val="18"/>
              </w:rPr>
              <w:t>Where possible these guidance values have been derived based on, or using, existing nationally-agreed and long standing Australian processes. For guidance values that are not yet available, in particular those where there are nationally recognised processes for the review and adoption of new criteria, such as the Water Quality Guidelines, appropriate interim criteria are recommended below.</w:t>
            </w:r>
          </w:p>
          <w:p w14:paraId="23723D71" w14:textId="77777777" w:rsidR="006D5194" w:rsidRPr="00BB739C" w:rsidRDefault="00BB739C" w:rsidP="00BB739C">
            <w:pPr>
              <w:pStyle w:val="BodyText"/>
              <w:spacing w:line="240" w:lineRule="atLeast"/>
              <w:rPr>
                <w:rFonts w:ascii="Arial" w:hAnsi="Arial" w:cs="Arial"/>
                <w:sz w:val="18"/>
                <w:szCs w:val="18"/>
              </w:rPr>
            </w:pPr>
            <w:r w:rsidRPr="006D5194">
              <w:rPr>
                <w:rFonts w:ascii="Arial" w:hAnsi="Arial" w:cs="Arial"/>
                <w:sz w:val="18"/>
                <w:szCs w:val="18"/>
              </w:rPr>
              <w:t>Where the above options have not been possible, internationally derived guideline values are provided with a recommendation for future work to review these within the Australian context.</w:t>
            </w:r>
          </w:p>
        </w:tc>
        <w:tc>
          <w:tcPr>
            <w:tcW w:w="4217" w:type="dxa"/>
          </w:tcPr>
          <w:p w14:paraId="70ABDA36" w14:textId="77777777" w:rsidR="006D5194" w:rsidRPr="00BB739C" w:rsidRDefault="00BB739C" w:rsidP="00BB739C">
            <w:pPr>
              <w:pStyle w:val="BodyText"/>
              <w:spacing w:line="240" w:lineRule="atLeast"/>
              <w:rPr>
                <w:rFonts w:ascii="Arial" w:hAnsi="Arial" w:cs="Arial"/>
                <w:sz w:val="18"/>
                <w:szCs w:val="18"/>
              </w:rPr>
            </w:pPr>
            <w:r w:rsidRPr="006D5194">
              <w:rPr>
                <w:rFonts w:ascii="Arial" w:hAnsi="Arial" w:cs="Arial"/>
                <w:sz w:val="18"/>
                <w:szCs w:val="18"/>
              </w:rPr>
              <w:t>A degree of conservatism has been included in the following criteria, which means that exceeding these values does not constitute a risk if other pathways are controlled. This inbuilt conservatism is necessary when deriving screening values to be protective of affected communities where multiple exposure pathways may be present. This is especially important for bioaccumulative chemicals such as PFOS, PFHxS and PFOA. The consequence of this is that an exceedance of the screening values should trigger further investigation such as site-specific risk assessment to refine the likely degree of possible risk (as opposed to the assumption that harm will have occurred).</w:t>
            </w:r>
          </w:p>
        </w:tc>
      </w:tr>
      <w:tr w:rsidR="00BB739C" w14:paraId="5B41D4B8" w14:textId="77777777" w:rsidTr="008278F3">
        <w:tc>
          <w:tcPr>
            <w:tcW w:w="8607" w:type="dxa"/>
            <w:gridSpan w:val="2"/>
          </w:tcPr>
          <w:p w14:paraId="0C9C1798" w14:textId="77777777" w:rsidR="00BB739C" w:rsidRPr="00BB739C" w:rsidRDefault="00BB739C" w:rsidP="00901E81">
            <w:pPr>
              <w:pStyle w:val="Tableheading"/>
              <w:spacing w:after="0"/>
              <w:jc w:val="both"/>
              <w:rPr>
                <w:rFonts w:ascii="Arial" w:hAnsi="Arial" w:cs="Arial"/>
                <w:sz w:val="18"/>
                <w:szCs w:val="18"/>
              </w:rPr>
            </w:pPr>
            <w:r w:rsidRPr="00BB739C">
              <w:rPr>
                <w:rFonts w:ascii="Arial" w:hAnsi="Arial" w:cs="Arial"/>
                <w:sz w:val="18"/>
              </w:rPr>
              <w:t>Table 1: Health-based guidance values for use in site investigations in Australia</w:t>
            </w:r>
          </w:p>
        </w:tc>
      </w:tr>
      <w:tr w:rsidR="00BB739C" w:rsidRPr="00BB739C" w14:paraId="5C3F6570" w14:textId="77777777" w:rsidTr="00BB739C">
        <w:tc>
          <w:tcPr>
            <w:tcW w:w="4390" w:type="dxa"/>
          </w:tcPr>
          <w:p w14:paraId="078A8105" w14:textId="77777777" w:rsidR="00BB739C" w:rsidRPr="00BB739C" w:rsidRDefault="00BB739C" w:rsidP="00BB739C">
            <w:pPr>
              <w:pStyle w:val="BodyText"/>
              <w:spacing w:line="240" w:lineRule="atLeast"/>
              <w:rPr>
                <w:rFonts w:ascii="Arial" w:hAnsi="Arial" w:cs="Arial"/>
                <w:sz w:val="18"/>
                <w:szCs w:val="18"/>
              </w:rPr>
            </w:pPr>
            <w:r w:rsidRPr="00BB739C">
              <w:rPr>
                <w:rFonts w:ascii="Arial" w:hAnsi="Arial" w:cs="Arial"/>
                <w:sz w:val="18"/>
                <w:szCs w:val="18"/>
              </w:rPr>
              <w:t>Health based guidance values are used to investigate and assess potential human health risks and are to be used to inform human health risk assessments and for setting human health based guidance values.</w:t>
            </w:r>
          </w:p>
        </w:tc>
        <w:tc>
          <w:tcPr>
            <w:tcW w:w="4217" w:type="dxa"/>
          </w:tcPr>
          <w:p w14:paraId="67845F0D" w14:textId="77777777" w:rsidR="00BB739C" w:rsidRPr="00BB739C" w:rsidRDefault="00BB739C" w:rsidP="00BB739C">
            <w:pPr>
              <w:pStyle w:val="BodyText"/>
              <w:spacing w:line="240" w:lineRule="atLeast"/>
              <w:rPr>
                <w:rFonts w:ascii="Arial" w:hAnsi="Arial" w:cs="Arial"/>
                <w:sz w:val="18"/>
                <w:szCs w:val="18"/>
              </w:rPr>
            </w:pPr>
            <w:r w:rsidRPr="00BB739C">
              <w:rPr>
                <w:rFonts w:ascii="Arial" w:hAnsi="Arial" w:cs="Arial"/>
                <w:sz w:val="18"/>
                <w:szCs w:val="18"/>
              </w:rPr>
              <w:t>Note: the degree of conservatism in the drinking water and recreational water guidance values (90% attributed to other exposure pathways) means that exceeding these values does not constitute a risk if other pathways are controlled.</w:t>
            </w:r>
          </w:p>
        </w:tc>
      </w:tr>
    </w:tbl>
    <w:p w14:paraId="0723733A" w14:textId="77777777" w:rsidR="006D5194" w:rsidRPr="0052058C" w:rsidRDefault="006D5194" w:rsidP="0052058C">
      <w:pPr>
        <w:pStyle w:val="BodyText"/>
        <w:spacing w:before="0" w:after="0"/>
        <w:rPr>
          <w:rFonts w:ascii="Arial" w:hAnsi="Arial" w:cs="Arial"/>
          <w:sz w:val="20"/>
          <w:szCs w:val="20"/>
        </w:rPr>
      </w:pPr>
    </w:p>
    <w:tbl>
      <w:tblPr>
        <w:tblStyle w:val="TableGrid"/>
        <w:tblW w:w="0" w:type="auto"/>
        <w:tblInd w:w="11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75"/>
        <w:gridCol w:w="1433"/>
        <w:gridCol w:w="1433"/>
        <w:gridCol w:w="1752"/>
        <w:gridCol w:w="2298"/>
      </w:tblGrid>
      <w:tr w:rsidR="007A7843" w:rsidRPr="0052058C" w14:paraId="6A9061D6" w14:textId="77777777" w:rsidTr="007A7843">
        <w:tc>
          <w:tcPr>
            <w:tcW w:w="1510" w:type="dxa"/>
            <w:tcBorders>
              <w:top w:val="single" w:sz="4" w:space="0" w:color="ECF1F3"/>
              <w:bottom w:val="single" w:sz="4" w:space="0" w:color="ECF1F3"/>
              <w:right w:val="nil"/>
            </w:tcBorders>
            <w:shd w:val="clear" w:color="auto" w:fill="ECF1F3"/>
            <w:vAlign w:val="bottom"/>
          </w:tcPr>
          <w:p w14:paraId="76081D02" w14:textId="77777777" w:rsidR="0052058C" w:rsidRPr="0052058C" w:rsidRDefault="0052058C" w:rsidP="0052058C">
            <w:pPr>
              <w:pStyle w:val="TableTextbold"/>
              <w:rPr>
                <w:rFonts w:ascii="Arial" w:hAnsi="Arial" w:cs="Arial"/>
                <w:sz w:val="16"/>
                <w:szCs w:val="16"/>
              </w:rPr>
            </w:pPr>
            <w:r w:rsidRPr="0052058C">
              <w:rPr>
                <w:rFonts w:ascii="Arial" w:hAnsi="Arial" w:cs="Arial"/>
                <w:sz w:val="16"/>
                <w:szCs w:val="16"/>
              </w:rPr>
              <w:t>Exposure scenario</w:t>
            </w:r>
          </w:p>
        </w:tc>
        <w:tc>
          <w:tcPr>
            <w:tcW w:w="1464" w:type="dxa"/>
            <w:tcBorders>
              <w:top w:val="single" w:sz="4" w:space="0" w:color="ECF1F3"/>
              <w:left w:val="nil"/>
              <w:bottom w:val="single" w:sz="4" w:space="0" w:color="ECF1F3"/>
              <w:right w:val="nil"/>
            </w:tcBorders>
            <w:shd w:val="clear" w:color="auto" w:fill="ECF1F3"/>
            <w:vAlign w:val="bottom"/>
          </w:tcPr>
          <w:p w14:paraId="304DC49F" w14:textId="77777777" w:rsidR="0052058C" w:rsidRPr="0052058C" w:rsidRDefault="0052058C" w:rsidP="0052058C">
            <w:pPr>
              <w:pStyle w:val="TableTextbold"/>
              <w:rPr>
                <w:rFonts w:ascii="Arial" w:hAnsi="Arial" w:cs="Arial"/>
                <w:sz w:val="16"/>
                <w:szCs w:val="16"/>
              </w:rPr>
            </w:pPr>
            <w:r w:rsidRPr="0052058C">
              <w:rPr>
                <w:rFonts w:ascii="Arial" w:hAnsi="Arial" w:cs="Arial"/>
                <w:sz w:val="16"/>
                <w:szCs w:val="16"/>
              </w:rPr>
              <w:t>PFOS/ PFHxS</w:t>
            </w:r>
          </w:p>
        </w:tc>
        <w:tc>
          <w:tcPr>
            <w:tcW w:w="1464" w:type="dxa"/>
            <w:tcBorders>
              <w:top w:val="single" w:sz="4" w:space="0" w:color="ECF1F3"/>
              <w:left w:val="nil"/>
              <w:bottom w:val="single" w:sz="4" w:space="0" w:color="ECF1F3"/>
              <w:right w:val="nil"/>
            </w:tcBorders>
            <w:shd w:val="clear" w:color="auto" w:fill="ECF1F3"/>
            <w:vAlign w:val="bottom"/>
          </w:tcPr>
          <w:p w14:paraId="327CDB02" w14:textId="77777777" w:rsidR="0052058C" w:rsidRPr="0052058C" w:rsidRDefault="0052058C" w:rsidP="0052058C">
            <w:pPr>
              <w:pStyle w:val="TableTextbold"/>
              <w:rPr>
                <w:rFonts w:ascii="Arial" w:hAnsi="Arial" w:cs="Arial"/>
                <w:sz w:val="16"/>
                <w:szCs w:val="16"/>
              </w:rPr>
            </w:pPr>
            <w:r w:rsidRPr="0052058C">
              <w:rPr>
                <w:rFonts w:ascii="Arial" w:hAnsi="Arial" w:cs="Arial"/>
                <w:sz w:val="16"/>
                <w:szCs w:val="16"/>
              </w:rPr>
              <w:t>PFOA</w:t>
            </w:r>
          </w:p>
        </w:tc>
        <w:tc>
          <w:tcPr>
            <w:tcW w:w="1794" w:type="dxa"/>
            <w:tcBorders>
              <w:top w:val="single" w:sz="4" w:space="0" w:color="ECF1F3"/>
              <w:left w:val="nil"/>
              <w:bottom w:val="single" w:sz="4" w:space="0" w:color="ECF1F3"/>
              <w:right w:val="nil"/>
            </w:tcBorders>
            <w:shd w:val="clear" w:color="auto" w:fill="ECF1F3"/>
            <w:vAlign w:val="bottom"/>
          </w:tcPr>
          <w:p w14:paraId="7AEAADFF" w14:textId="77777777" w:rsidR="0052058C" w:rsidRPr="0052058C" w:rsidRDefault="0052058C" w:rsidP="0052058C">
            <w:pPr>
              <w:pStyle w:val="TableTextbold"/>
              <w:rPr>
                <w:rFonts w:ascii="Arial" w:hAnsi="Arial" w:cs="Arial"/>
                <w:sz w:val="16"/>
                <w:szCs w:val="16"/>
              </w:rPr>
            </w:pPr>
            <w:r w:rsidRPr="0052058C">
              <w:rPr>
                <w:rFonts w:ascii="Arial" w:hAnsi="Arial" w:cs="Arial"/>
                <w:sz w:val="16"/>
                <w:szCs w:val="16"/>
              </w:rPr>
              <w:t>Description</w:t>
            </w:r>
          </w:p>
        </w:tc>
        <w:tc>
          <w:tcPr>
            <w:tcW w:w="2375" w:type="dxa"/>
            <w:tcBorders>
              <w:top w:val="single" w:sz="4" w:space="0" w:color="ECF1F3"/>
              <w:left w:val="nil"/>
              <w:bottom w:val="single" w:sz="4" w:space="0" w:color="ECF1F3"/>
            </w:tcBorders>
            <w:shd w:val="clear" w:color="auto" w:fill="ECF1F3"/>
            <w:vAlign w:val="bottom"/>
          </w:tcPr>
          <w:p w14:paraId="1821FA6A" w14:textId="77777777" w:rsidR="0052058C" w:rsidRPr="0052058C" w:rsidRDefault="0052058C" w:rsidP="0052058C">
            <w:pPr>
              <w:pStyle w:val="TableTextbold"/>
              <w:rPr>
                <w:rFonts w:ascii="Arial" w:hAnsi="Arial" w:cs="Arial"/>
                <w:sz w:val="16"/>
                <w:szCs w:val="16"/>
              </w:rPr>
            </w:pPr>
            <w:r w:rsidRPr="0052058C">
              <w:rPr>
                <w:rFonts w:ascii="Arial" w:hAnsi="Arial" w:cs="Arial"/>
                <w:sz w:val="16"/>
                <w:szCs w:val="16"/>
              </w:rPr>
              <w:t>Comments and source</w:t>
            </w:r>
          </w:p>
        </w:tc>
      </w:tr>
      <w:tr w:rsidR="00742E52" w:rsidRPr="0052058C" w14:paraId="51B06330" w14:textId="77777777" w:rsidTr="007A7843">
        <w:tc>
          <w:tcPr>
            <w:tcW w:w="1510" w:type="dxa"/>
            <w:vMerge w:val="restart"/>
            <w:tcBorders>
              <w:top w:val="single" w:sz="4" w:space="0" w:color="ECF1F3"/>
            </w:tcBorders>
          </w:tcPr>
          <w:p w14:paraId="40064AD3"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Health-based guidance values</w:t>
            </w:r>
          </w:p>
        </w:tc>
        <w:tc>
          <w:tcPr>
            <w:tcW w:w="1464" w:type="dxa"/>
            <w:tcBorders>
              <w:top w:val="single" w:sz="4" w:space="0" w:color="ECF1F3"/>
            </w:tcBorders>
          </w:tcPr>
          <w:p w14:paraId="4C7152B3"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0.02 µg/kgbw/d</w:t>
            </w:r>
          </w:p>
        </w:tc>
        <w:tc>
          <w:tcPr>
            <w:tcW w:w="1464" w:type="dxa"/>
            <w:tcBorders>
              <w:top w:val="single" w:sz="4" w:space="0" w:color="ECF1F3"/>
            </w:tcBorders>
          </w:tcPr>
          <w:p w14:paraId="327E72E5"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0.16 µg/kgbw/d</w:t>
            </w:r>
          </w:p>
        </w:tc>
        <w:tc>
          <w:tcPr>
            <w:tcW w:w="1794" w:type="dxa"/>
            <w:tcBorders>
              <w:top w:val="single" w:sz="4" w:space="0" w:color="ECF1F3"/>
            </w:tcBorders>
          </w:tcPr>
          <w:p w14:paraId="380A9B2D"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Tolerable daily intake (TDI)</w:t>
            </w:r>
          </w:p>
        </w:tc>
        <w:tc>
          <w:tcPr>
            <w:tcW w:w="2375" w:type="dxa"/>
            <w:tcBorders>
              <w:top w:val="single" w:sz="4" w:space="0" w:color="ECF1F3"/>
            </w:tcBorders>
          </w:tcPr>
          <w:p w14:paraId="09EFDAFA"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Food Standards Australia New Zealand (FSANZ) 2017a</w:t>
            </w:r>
          </w:p>
        </w:tc>
      </w:tr>
      <w:tr w:rsidR="0052058C" w:rsidRPr="0052058C" w14:paraId="33472A28" w14:textId="77777777" w:rsidTr="007A7843">
        <w:tc>
          <w:tcPr>
            <w:tcW w:w="1510" w:type="dxa"/>
            <w:vMerge/>
          </w:tcPr>
          <w:p w14:paraId="76DA1561" w14:textId="77777777" w:rsidR="0052058C" w:rsidRPr="0052058C" w:rsidRDefault="0052058C" w:rsidP="0052058C">
            <w:pPr>
              <w:pStyle w:val="TableText"/>
              <w:rPr>
                <w:rFonts w:ascii="Arial" w:eastAsia="Times New Roman" w:hAnsi="Arial" w:cs="Arial"/>
                <w:sz w:val="16"/>
                <w:szCs w:val="16"/>
              </w:rPr>
            </w:pPr>
          </w:p>
        </w:tc>
        <w:tc>
          <w:tcPr>
            <w:tcW w:w="1464" w:type="dxa"/>
          </w:tcPr>
          <w:p w14:paraId="27732E7D"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0.07 µg/L</w:t>
            </w:r>
          </w:p>
        </w:tc>
        <w:tc>
          <w:tcPr>
            <w:tcW w:w="1464" w:type="dxa"/>
          </w:tcPr>
          <w:p w14:paraId="08CB3BD1"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0.56 µg/L</w:t>
            </w:r>
          </w:p>
        </w:tc>
        <w:tc>
          <w:tcPr>
            <w:tcW w:w="1794" w:type="dxa"/>
          </w:tcPr>
          <w:p w14:paraId="77C2828F"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Drinking water</w:t>
            </w:r>
          </w:p>
        </w:tc>
        <w:tc>
          <w:tcPr>
            <w:tcW w:w="2375" w:type="dxa"/>
            <w:vMerge w:val="restart"/>
          </w:tcPr>
          <w:p w14:paraId="7C17ACA5" w14:textId="77777777" w:rsidR="0052058C" w:rsidRPr="0052058C" w:rsidRDefault="0052058C" w:rsidP="0052058C">
            <w:pPr>
              <w:pStyle w:val="TableText"/>
              <w:rPr>
                <w:rFonts w:ascii="Arial" w:eastAsia="Times New Roman" w:hAnsi="Arial" w:cs="Arial"/>
                <w:sz w:val="16"/>
                <w:szCs w:val="16"/>
              </w:rPr>
            </w:pPr>
            <w:r w:rsidRPr="0052058C">
              <w:rPr>
                <w:rFonts w:ascii="Arial" w:eastAsia="Times New Roman" w:hAnsi="Arial" w:cs="Arial"/>
                <w:sz w:val="16"/>
                <w:szCs w:val="16"/>
              </w:rPr>
              <w:t>Australian Government Department of Health 2017</w:t>
            </w:r>
          </w:p>
        </w:tc>
      </w:tr>
      <w:tr w:rsidR="0052058C" w:rsidRPr="0052058C" w14:paraId="026C8C0E" w14:textId="77777777" w:rsidTr="007A7843">
        <w:tc>
          <w:tcPr>
            <w:tcW w:w="1510" w:type="dxa"/>
            <w:vMerge/>
          </w:tcPr>
          <w:p w14:paraId="4C290FE1" w14:textId="77777777" w:rsidR="0052058C" w:rsidRPr="0052058C" w:rsidRDefault="0052058C" w:rsidP="0052058C">
            <w:pPr>
              <w:pStyle w:val="TableText"/>
              <w:rPr>
                <w:rFonts w:ascii="Arial" w:eastAsia="Times New Roman" w:hAnsi="Arial" w:cs="Arial"/>
                <w:b/>
                <w:spacing w:val="-4"/>
                <w:sz w:val="16"/>
                <w:szCs w:val="16"/>
              </w:rPr>
            </w:pPr>
          </w:p>
        </w:tc>
        <w:tc>
          <w:tcPr>
            <w:tcW w:w="1464" w:type="dxa"/>
          </w:tcPr>
          <w:p w14:paraId="5E53124A" w14:textId="77777777" w:rsidR="0052058C" w:rsidRPr="0052058C" w:rsidRDefault="0052058C" w:rsidP="0052058C">
            <w:pPr>
              <w:pStyle w:val="TableText"/>
              <w:rPr>
                <w:rFonts w:ascii="Arial" w:eastAsia="Times New Roman" w:hAnsi="Arial" w:cs="Arial"/>
                <w:spacing w:val="-4"/>
                <w:sz w:val="16"/>
                <w:szCs w:val="16"/>
              </w:rPr>
            </w:pPr>
            <w:r w:rsidRPr="0052058C">
              <w:rPr>
                <w:rFonts w:ascii="Arial" w:eastAsia="Times New Roman" w:hAnsi="Arial" w:cs="Arial"/>
                <w:spacing w:val="-4"/>
                <w:sz w:val="16"/>
                <w:szCs w:val="16"/>
              </w:rPr>
              <w:t>0.7 µg/L</w:t>
            </w:r>
          </w:p>
        </w:tc>
        <w:tc>
          <w:tcPr>
            <w:tcW w:w="1464" w:type="dxa"/>
          </w:tcPr>
          <w:p w14:paraId="33F17BC6" w14:textId="77777777" w:rsidR="0052058C" w:rsidRPr="0052058C" w:rsidRDefault="0052058C" w:rsidP="0052058C">
            <w:pPr>
              <w:pStyle w:val="TableText"/>
              <w:rPr>
                <w:rFonts w:ascii="Arial" w:eastAsia="Times New Roman" w:hAnsi="Arial" w:cs="Arial"/>
                <w:spacing w:val="-4"/>
                <w:sz w:val="16"/>
                <w:szCs w:val="16"/>
              </w:rPr>
            </w:pPr>
            <w:r w:rsidRPr="0052058C">
              <w:rPr>
                <w:rFonts w:ascii="Arial" w:eastAsia="Times New Roman" w:hAnsi="Arial" w:cs="Arial"/>
                <w:spacing w:val="-4"/>
                <w:sz w:val="16"/>
                <w:szCs w:val="16"/>
              </w:rPr>
              <w:t>5.6 µg/L</w:t>
            </w:r>
          </w:p>
        </w:tc>
        <w:tc>
          <w:tcPr>
            <w:tcW w:w="1794" w:type="dxa"/>
          </w:tcPr>
          <w:p w14:paraId="52261B11" w14:textId="77777777" w:rsidR="0052058C" w:rsidRPr="0052058C" w:rsidRDefault="0052058C" w:rsidP="0052058C">
            <w:pPr>
              <w:pStyle w:val="TableText"/>
              <w:rPr>
                <w:rFonts w:ascii="Arial" w:eastAsia="Times New Roman" w:hAnsi="Arial" w:cs="Arial"/>
                <w:spacing w:val="-4"/>
                <w:sz w:val="16"/>
                <w:szCs w:val="16"/>
              </w:rPr>
            </w:pPr>
            <w:r w:rsidRPr="0052058C">
              <w:rPr>
                <w:rFonts w:ascii="Arial" w:eastAsia="Times New Roman" w:hAnsi="Arial" w:cs="Arial"/>
                <w:spacing w:val="-4"/>
                <w:sz w:val="16"/>
                <w:szCs w:val="16"/>
              </w:rPr>
              <w:t>Recreational Water</w:t>
            </w:r>
          </w:p>
        </w:tc>
        <w:tc>
          <w:tcPr>
            <w:tcW w:w="2375" w:type="dxa"/>
            <w:vMerge/>
          </w:tcPr>
          <w:p w14:paraId="1AE94799" w14:textId="77777777" w:rsidR="0052058C" w:rsidRPr="0052058C" w:rsidRDefault="0052058C" w:rsidP="0052058C">
            <w:pPr>
              <w:pStyle w:val="TableText"/>
              <w:rPr>
                <w:rFonts w:ascii="Arial" w:eastAsia="Times New Roman" w:hAnsi="Arial" w:cs="Arial"/>
                <w:b/>
                <w:spacing w:val="-4"/>
                <w:sz w:val="16"/>
                <w:szCs w:val="16"/>
              </w:rPr>
            </w:pPr>
          </w:p>
        </w:tc>
      </w:tr>
    </w:tbl>
    <w:p w14:paraId="1945B5E7" w14:textId="77777777" w:rsidR="0052058C" w:rsidRPr="0052058C" w:rsidRDefault="0052058C" w:rsidP="0052058C">
      <w:pPr>
        <w:pStyle w:val="Note"/>
        <w:rPr>
          <w:rFonts w:ascii="Arial" w:eastAsia="Times New Roman" w:hAnsi="Arial" w:cs="Arial"/>
          <w:spacing w:val="-7"/>
          <w:sz w:val="16"/>
          <w:szCs w:val="16"/>
        </w:rPr>
      </w:pPr>
      <w:r w:rsidRPr="0052058C">
        <w:rPr>
          <w:rFonts w:ascii="Arial" w:eastAsia="Times New Roman" w:hAnsi="Arial" w:cs="Arial"/>
          <w:sz w:val="16"/>
          <w:szCs w:val="16"/>
        </w:rPr>
        <w:t xml:space="preserve">Note: bw= body weight, </w:t>
      </w:r>
      <w:r w:rsidRPr="0052058C">
        <w:rPr>
          <w:rFonts w:ascii="Arial" w:eastAsia="Times New Roman" w:hAnsi="Arial" w:cs="Arial"/>
          <w:spacing w:val="-7"/>
          <w:sz w:val="16"/>
          <w:szCs w:val="16"/>
        </w:rPr>
        <w:t>µg= micrograms</w:t>
      </w:r>
    </w:p>
    <w:p w14:paraId="226016F8" w14:textId="77777777" w:rsidR="0010108C" w:rsidRDefault="0010108C">
      <w:pPr>
        <w:spacing w:before="0" w:after="200" w:line="276" w:lineRule="auto"/>
        <w:jc w:val="left"/>
      </w:pPr>
      <w:r>
        <w:br w:type="page"/>
      </w:r>
    </w:p>
    <w:p w14:paraId="5B5DED7A" w14:textId="77777777" w:rsidR="0010108C" w:rsidRPr="0010108C" w:rsidRDefault="0010108C" w:rsidP="004564FF">
      <w:pPr>
        <w:pStyle w:val="Tableheading"/>
        <w:spacing w:after="0"/>
        <w:rPr>
          <w:rFonts w:ascii="Arial" w:hAnsi="Arial" w:cs="Arial"/>
          <w:sz w:val="18"/>
          <w:szCs w:val="18"/>
        </w:rPr>
      </w:pPr>
      <w:r w:rsidRPr="0010108C">
        <w:rPr>
          <w:rFonts w:ascii="Arial" w:hAnsi="Arial" w:cs="Arial"/>
          <w:sz w:val="18"/>
          <w:szCs w:val="18"/>
        </w:rPr>
        <w:lastRenderedPageBreak/>
        <w:t>Table 2: Soil criteria for investigation — human health based guidance values</w:t>
      </w:r>
    </w:p>
    <w:p w14:paraId="3D6C42CD" w14:textId="77777777" w:rsidR="0010108C" w:rsidRPr="00D8522C" w:rsidRDefault="0010108C" w:rsidP="004564FF">
      <w:pPr>
        <w:pStyle w:val="BodyText"/>
        <w:spacing w:after="0" w:line="240" w:lineRule="atLeast"/>
        <w:rPr>
          <w:rFonts w:ascii="Arial" w:hAnsi="Arial" w:cs="Arial"/>
          <w:sz w:val="18"/>
          <w:szCs w:val="20"/>
        </w:rPr>
      </w:pPr>
      <w:r w:rsidRPr="00D8522C">
        <w:rPr>
          <w:rFonts w:ascii="Arial" w:hAnsi="Arial" w:cs="Arial"/>
          <w:sz w:val="18"/>
          <w:szCs w:val="20"/>
        </w:rPr>
        <w:t>These soil guidance values should only be used to assess potential human exposure through direct soil contact. They should be applied in conjunction with other lines of investigation to account for potential leaching, off-site transport, bioaccumulation and secondary exposure.</w:t>
      </w:r>
    </w:p>
    <w:p w14:paraId="7D4B985F" w14:textId="7AC834F3" w:rsidR="00E750A6" w:rsidRPr="00D8522C" w:rsidRDefault="0010108C" w:rsidP="004564FF">
      <w:pPr>
        <w:pStyle w:val="BodyText"/>
        <w:spacing w:after="240" w:line="240" w:lineRule="atLeast"/>
        <w:rPr>
          <w:rFonts w:ascii="Arial" w:hAnsi="Arial" w:cs="Arial"/>
          <w:sz w:val="18"/>
          <w:szCs w:val="20"/>
        </w:rPr>
      </w:pPr>
      <w:r w:rsidRPr="00D8522C">
        <w:rPr>
          <w:rFonts w:ascii="Arial" w:hAnsi="Arial" w:cs="Arial"/>
          <w:sz w:val="18"/>
          <w:szCs w:val="20"/>
        </w:rPr>
        <w:t>Note: The degree of conservatism in the sail criteria for investigation — human health based guidance values (80% attributed to other exposure pathways) means that exceeding these values does not constitute a risk i</w:t>
      </w:r>
      <w:r w:rsidR="006D48A9">
        <w:rPr>
          <w:rFonts w:ascii="Arial" w:hAnsi="Arial" w:cs="Arial"/>
          <w:sz w:val="18"/>
          <w:szCs w:val="20"/>
        </w:rPr>
        <w:t>f other pathways are controlled</w:t>
      </w:r>
      <w:r w:rsidRPr="00D8522C">
        <w:rPr>
          <w:rFonts w:ascii="Arial" w:hAnsi="Arial" w:cs="Arial"/>
          <w:sz w:val="18"/>
          <w:szCs w:val="20"/>
        </w:rPr>
        <w:t>. Future work is recommended to review the human health based guidance values to ensure that as new information becomes available, including further development of transfer factors, it will be used to inform updates to these values.</w:t>
      </w:r>
    </w:p>
    <w:tbl>
      <w:tblPr>
        <w:tblStyle w:val="TableGrid"/>
        <w:tblW w:w="0" w:type="auto"/>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CellMar>
          <w:left w:w="85" w:type="dxa"/>
          <w:right w:w="85" w:type="dxa"/>
        </w:tblCellMar>
        <w:tblLook w:val="04A0" w:firstRow="1" w:lastRow="0" w:firstColumn="1" w:lastColumn="0" w:noHBand="0" w:noVBand="1"/>
      </w:tblPr>
      <w:tblGrid>
        <w:gridCol w:w="1636"/>
        <w:gridCol w:w="1192"/>
        <w:gridCol w:w="973"/>
        <w:gridCol w:w="1310"/>
        <w:gridCol w:w="3393"/>
      </w:tblGrid>
      <w:tr w:rsidR="0010108C" w:rsidRPr="0010108C" w14:paraId="5E726C4B" w14:textId="77777777" w:rsidTr="00414251">
        <w:trPr>
          <w:tblHeader/>
        </w:trPr>
        <w:tc>
          <w:tcPr>
            <w:tcW w:w="1667" w:type="dxa"/>
            <w:tcBorders>
              <w:top w:val="single" w:sz="4" w:space="0" w:color="ECF1F3"/>
              <w:bottom w:val="single" w:sz="4" w:space="0" w:color="ECF1F3"/>
              <w:right w:val="single" w:sz="4" w:space="0" w:color="ECF1F3"/>
            </w:tcBorders>
            <w:shd w:val="clear" w:color="auto" w:fill="ECF1F3" w:themeFill="accent3" w:themeFillTint="66"/>
          </w:tcPr>
          <w:p w14:paraId="582175E9" w14:textId="77777777" w:rsidR="0010108C" w:rsidRPr="0010108C" w:rsidRDefault="0010108C" w:rsidP="0010108C">
            <w:pPr>
              <w:pStyle w:val="TableText"/>
              <w:rPr>
                <w:rFonts w:ascii="Arial" w:eastAsia="Times New Roman" w:hAnsi="Arial" w:cs="Arial"/>
                <w:b/>
                <w:sz w:val="16"/>
                <w:szCs w:val="16"/>
              </w:rPr>
            </w:pPr>
            <w:r w:rsidRPr="0010108C">
              <w:rPr>
                <w:rFonts w:ascii="Arial" w:eastAsia="Times New Roman" w:hAnsi="Arial" w:cs="Arial"/>
                <w:b/>
                <w:sz w:val="16"/>
                <w:szCs w:val="16"/>
              </w:rPr>
              <w:t xml:space="preserve">Exposure scenario </w:t>
            </w:r>
          </w:p>
        </w:tc>
        <w:tc>
          <w:tcPr>
            <w:tcW w:w="1212"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tcPr>
          <w:p w14:paraId="16B56029" w14:textId="77777777" w:rsidR="0010108C" w:rsidRPr="0010108C" w:rsidRDefault="0010108C" w:rsidP="0010108C">
            <w:pPr>
              <w:pStyle w:val="TableText"/>
              <w:rPr>
                <w:rFonts w:ascii="Arial" w:eastAsia="Times New Roman" w:hAnsi="Arial" w:cs="Arial"/>
                <w:b/>
                <w:sz w:val="16"/>
                <w:szCs w:val="16"/>
              </w:rPr>
            </w:pPr>
            <w:r w:rsidRPr="0010108C">
              <w:rPr>
                <w:rFonts w:ascii="Arial" w:eastAsia="Times New Roman" w:hAnsi="Arial" w:cs="Arial"/>
                <w:b/>
                <w:spacing w:val="-7"/>
                <w:sz w:val="16"/>
                <w:szCs w:val="16"/>
              </w:rPr>
              <w:t>PFOS/ PFHxS</w:t>
            </w:r>
          </w:p>
        </w:tc>
        <w:tc>
          <w:tcPr>
            <w:tcW w:w="988"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tcPr>
          <w:p w14:paraId="4736C9AE" w14:textId="77777777" w:rsidR="0010108C" w:rsidRPr="0010108C" w:rsidRDefault="0010108C" w:rsidP="0010108C">
            <w:pPr>
              <w:pStyle w:val="TableText"/>
              <w:rPr>
                <w:rFonts w:ascii="Arial" w:eastAsia="Times New Roman" w:hAnsi="Arial" w:cs="Arial"/>
                <w:b/>
                <w:sz w:val="16"/>
                <w:szCs w:val="16"/>
              </w:rPr>
            </w:pPr>
            <w:r w:rsidRPr="0010108C">
              <w:rPr>
                <w:rFonts w:ascii="Arial" w:eastAsia="Times New Roman" w:hAnsi="Arial" w:cs="Arial"/>
                <w:b/>
                <w:spacing w:val="-7"/>
                <w:sz w:val="16"/>
                <w:szCs w:val="16"/>
              </w:rPr>
              <w:t>PFOA</w:t>
            </w:r>
          </w:p>
        </w:tc>
        <w:tc>
          <w:tcPr>
            <w:tcW w:w="1323"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tcPr>
          <w:p w14:paraId="1BE3E850" w14:textId="77777777" w:rsidR="0010108C" w:rsidRPr="0010108C" w:rsidRDefault="0010108C" w:rsidP="0010108C">
            <w:pPr>
              <w:pStyle w:val="TableText"/>
              <w:rPr>
                <w:rFonts w:ascii="Arial" w:eastAsia="Times New Roman" w:hAnsi="Arial" w:cs="Arial"/>
                <w:b/>
                <w:sz w:val="16"/>
                <w:szCs w:val="16"/>
              </w:rPr>
            </w:pPr>
            <w:r w:rsidRPr="0010108C">
              <w:rPr>
                <w:rFonts w:ascii="Arial" w:eastAsia="Times New Roman" w:hAnsi="Arial" w:cs="Arial"/>
                <w:b/>
                <w:sz w:val="16"/>
                <w:szCs w:val="16"/>
              </w:rPr>
              <w:t>Land use</w:t>
            </w:r>
          </w:p>
        </w:tc>
        <w:tc>
          <w:tcPr>
            <w:tcW w:w="3484" w:type="dxa"/>
            <w:tcBorders>
              <w:top w:val="single" w:sz="4" w:space="0" w:color="ECF1F3"/>
              <w:left w:val="single" w:sz="4" w:space="0" w:color="ECF1F3"/>
              <w:bottom w:val="single" w:sz="4" w:space="0" w:color="ECF1F3"/>
            </w:tcBorders>
            <w:shd w:val="clear" w:color="auto" w:fill="ECF1F3" w:themeFill="accent3" w:themeFillTint="66"/>
          </w:tcPr>
          <w:p w14:paraId="1153FF36" w14:textId="77777777" w:rsidR="0010108C" w:rsidRPr="0010108C" w:rsidRDefault="0010108C" w:rsidP="0010108C">
            <w:pPr>
              <w:pStyle w:val="TableText"/>
              <w:rPr>
                <w:rFonts w:ascii="Arial" w:eastAsia="Times New Roman" w:hAnsi="Arial" w:cs="Arial"/>
                <w:b/>
                <w:sz w:val="16"/>
                <w:szCs w:val="16"/>
              </w:rPr>
            </w:pPr>
            <w:r w:rsidRPr="0010108C">
              <w:rPr>
                <w:rFonts w:ascii="Arial" w:eastAsia="Times New Roman" w:hAnsi="Arial" w:cs="Arial"/>
                <w:b/>
                <w:spacing w:val="-7"/>
                <w:sz w:val="16"/>
                <w:szCs w:val="16"/>
              </w:rPr>
              <w:t>Comments and source</w:t>
            </w:r>
          </w:p>
        </w:tc>
      </w:tr>
      <w:tr w:rsidR="00D8522C" w:rsidRPr="0010108C" w14:paraId="468B963E" w14:textId="77777777" w:rsidTr="00414251">
        <w:tc>
          <w:tcPr>
            <w:tcW w:w="1667" w:type="dxa"/>
            <w:vMerge w:val="restart"/>
            <w:tcBorders>
              <w:top w:val="single" w:sz="4" w:space="0" w:color="ECF1F3"/>
            </w:tcBorders>
          </w:tcPr>
          <w:p w14:paraId="66B1637E"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color w:val="10161F"/>
                <w:sz w:val="16"/>
                <w:szCs w:val="16"/>
                <w:lang w:val="en-US"/>
              </w:rPr>
              <w:t>Soil — Human health screening values</w:t>
            </w:r>
          </w:p>
        </w:tc>
        <w:tc>
          <w:tcPr>
            <w:tcW w:w="1212" w:type="dxa"/>
            <w:tcBorders>
              <w:top w:val="single" w:sz="4" w:space="0" w:color="ECF1F3"/>
            </w:tcBorders>
          </w:tcPr>
          <w:p w14:paraId="3E42C858"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0.009 mg/kg</w:t>
            </w:r>
          </w:p>
        </w:tc>
        <w:tc>
          <w:tcPr>
            <w:tcW w:w="988" w:type="dxa"/>
            <w:tcBorders>
              <w:top w:val="single" w:sz="4" w:space="0" w:color="ECF1F3"/>
            </w:tcBorders>
          </w:tcPr>
          <w:p w14:paraId="230C9D34"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0.1 mg/kg</w:t>
            </w:r>
          </w:p>
        </w:tc>
        <w:tc>
          <w:tcPr>
            <w:tcW w:w="1323" w:type="dxa"/>
            <w:tcBorders>
              <w:top w:val="single" w:sz="4" w:space="0" w:color="ECF1F3"/>
            </w:tcBorders>
          </w:tcPr>
          <w:p w14:paraId="35F7A770"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color w:val="10161F"/>
                <w:spacing w:val="-3"/>
                <w:sz w:val="16"/>
                <w:szCs w:val="16"/>
                <w:lang w:val="en-US"/>
              </w:rPr>
              <w:t>Residential with garden/ accessible soil</w:t>
            </w:r>
          </w:p>
        </w:tc>
        <w:tc>
          <w:tcPr>
            <w:tcW w:w="3484" w:type="dxa"/>
            <w:tcBorders>
              <w:top w:val="single" w:sz="4" w:space="0" w:color="ECF1F3"/>
            </w:tcBorders>
          </w:tcPr>
          <w:p w14:paraId="78DF3B77" w14:textId="77777777" w:rsidR="0010108C" w:rsidRPr="0010108C" w:rsidRDefault="0010108C" w:rsidP="004564FF">
            <w:pPr>
              <w:pStyle w:val="TableText"/>
              <w:spacing w:after="0"/>
              <w:rPr>
                <w:rFonts w:ascii="Arial" w:eastAsia="Times New Roman" w:hAnsi="Arial" w:cs="Arial"/>
                <w:spacing w:val="-7"/>
                <w:sz w:val="16"/>
                <w:szCs w:val="16"/>
              </w:rPr>
            </w:pPr>
            <w:r w:rsidRPr="0010108C">
              <w:rPr>
                <w:rFonts w:ascii="Arial" w:eastAsia="Times New Roman" w:hAnsi="Arial" w:cs="Arial"/>
                <w:spacing w:val="-7"/>
                <w:sz w:val="16"/>
                <w:szCs w:val="16"/>
              </w:rPr>
              <w:t>Based on 20% of FSANZ TDI, i.e. up to 80% of exposure is assumed to come from other pathways.</w:t>
            </w:r>
          </w:p>
          <w:p w14:paraId="26F944E2" w14:textId="77777777" w:rsidR="0010108C" w:rsidRPr="0010108C" w:rsidRDefault="0010108C" w:rsidP="004564FF">
            <w:pPr>
              <w:pStyle w:val="TableText"/>
              <w:spacing w:after="0"/>
              <w:rPr>
                <w:rFonts w:ascii="Arial" w:eastAsia="Times New Roman" w:hAnsi="Arial" w:cs="Arial"/>
                <w:spacing w:val="-7"/>
                <w:sz w:val="16"/>
                <w:szCs w:val="16"/>
              </w:rPr>
            </w:pPr>
            <w:r w:rsidRPr="0010108C">
              <w:rPr>
                <w:rFonts w:ascii="Arial" w:eastAsia="Times New Roman" w:hAnsi="Arial" w:cs="Arial"/>
                <w:spacing w:val="-7"/>
                <w:sz w:val="16"/>
                <w:szCs w:val="16"/>
              </w:rPr>
              <w:t>National Environment Protection (Assessment of Site Contamination) Measure Health Investigation Level -A assumptions with home-grown produce providing up to 10% of fruit and vegetable intake (no poultry), also includes children's day care centres, preschools and primary schools.</w:t>
            </w:r>
          </w:p>
          <w:p w14:paraId="43D4674C"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pacing w:val="-7"/>
                <w:sz w:val="16"/>
                <w:szCs w:val="16"/>
              </w:rPr>
              <w:t>Does not include home-grown poultry/egg</w:t>
            </w:r>
            <w:r w:rsidRPr="0010108C">
              <w:rPr>
                <w:rFonts w:ascii="Arial" w:eastAsia="Times New Roman" w:hAnsi="Arial" w:cs="Arial"/>
                <w:color w:val="10161F"/>
                <w:sz w:val="16"/>
                <w:szCs w:val="16"/>
                <w:lang w:val="en-US"/>
              </w:rPr>
              <w:t>.</w:t>
            </w:r>
          </w:p>
        </w:tc>
      </w:tr>
      <w:tr w:rsidR="00D8522C" w:rsidRPr="0010108C" w14:paraId="0ACDDA0C" w14:textId="77777777" w:rsidTr="00414251">
        <w:tc>
          <w:tcPr>
            <w:tcW w:w="1667" w:type="dxa"/>
            <w:vMerge/>
          </w:tcPr>
          <w:p w14:paraId="740F94DF" w14:textId="77777777" w:rsidR="0010108C" w:rsidRPr="0010108C" w:rsidRDefault="0010108C" w:rsidP="0010108C">
            <w:pPr>
              <w:pStyle w:val="TableText"/>
              <w:rPr>
                <w:rFonts w:ascii="Arial" w:eastAsia="Times New Roman" w:hAnsi="Arial" w:cs="Arial"/>
                <w:sz w:val="16"/>
                <w:szCs w:val="16"/>
              </w:rPr>
            </w:pPr>
          </w:p>
        </w:tc>
        <w:tc>
          <w:tcPr>
            <w:tcW w:w="1212" w:type="dxa"/>
          </w:tcPr>
          <w:p w14:paraId="14CF32BD"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2 mg/kg</w:t>
            </w:r>
          </w:p>
        </w:tc>
        <w:tc>
          <w:tcPr>
            <w:tcW w:w="988" w:type="dxa"/>
          </w:tcPr>
          <w:p w14:paraId="6BDA3CB9"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20 mg/kg</w:t>
            </w:r>
          </w:p>
        </w:tc>
        <w:tc>
          <w:tcPr>
            <w:tcW w:w="1323" w:type="dxa"/>
          </w:tcPr>
          <w:p w14:paraId="2E586AA9"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color w:val="10161F"/>
                <w:spacing w:val="-13"/>
                <w:sz w:val="16"/>
                <w:szCs w:val="16"/>
                <w:lang w:val="en-US"/>
              </w:rPr>
              <w:t>Residential with minimal opportunities for soil access</w:t>
            </w:r>
          </w:p>
        </w:tc>
        <w:tc>
          <w:tcPr>
            <w:tcW w:w="3484" w:type="dxa"/>
          </w:tcPr>
          <w:p w14:paraId="1100AD24" w14:textId="77777777" w:rsidR="0010108C" w:rsidRPr="0010108C" w:rsidRDefault="0010108C" w:rsidP="004564FF">
            <w:pPr>
              <w:pStyle w:val="TableText"/>
              <w:spacing w:after="0"/>
              <w:rPr>
                <w:rFonts w:ascii="Arial" w:eastAsia="Times New Roman" w:hAnsi="Arial" w:cs="Arial"/>
                <w:spacing w:val="-7"/>
                <w:sz w:val="16"/>
                <w:szCs w:val="16"/>
              </w:rPr>
            </w:pPr>
            <w:r w:rsidRPr="0010108C">
              <w:rPr>
                <w:rFonts w:ascii="Arial" w:eastAsia="Times New Roman" w:hAnsi="Arial" w:cs="Arial"/>
                <w:spacing w:val="-7"/>
                <w:sz w:val="16"/>
                <w:szCs w:val="16"/>
              </w:rPr>
              <w:t>Based on 20% of FSANZ TDI, i.e. up to 80% of exposure is assumed to come from other pathways.</w:t>
            </w:r>
          </w:p>
          <w:p w14:paraId="61FEE617" w14:textId="77777777" w:rsidR="0010108C" w:rsidRPr="0010108C" w:rsidRDefault="0010108C" w:rsidP="0010108C">
            <w:pPr>
              <w:pStyle w:val="TableText"/>
              <w:rPr>
                <w:rFonts w:ascii="Arial" w:eastAsia="Times New Roman" w:hAnsi="Arial" w:cs="Arial"/>
                <w:spacing w:val="-7"/>
                <w:sz w:val="16"/>
                <w:szCs w:val="16"/>
              </w:rPr>
            </w:pPr>
            <w:r w:rsidRPr="0010108C">
              <w:rPr>
                <w:rFonts w:ascii="Arial" w:eastAsia="Times New Roman" w:hAnsi="Arial" w:cs="Arial"/>
                <w:spacing w:val="-7"/>
                <w:sz w:val="16"/>
                <w:szCs w:val="16"/>
              </w:rPr>
              <w:t>National Environment Protection (Assessment of Site Contamination) Measure Health Investigation Level-B assumptions with no use for home-grown produce and poultry and includes dwellings with fully and permanent paved yard space such as high rise-buildings and flats.</w:t>
            </w:r>
          </w:p>
        </w:tc>
      </w:tr>
      <w:tr w:rsidR="00D8522C" w:rsidRPr="0010108C" w14:paraId="480927BC" w14:textId="77777777" w:rsidTr="00414251">
        <w:tc>
          <w:tcPr>
            <w:tcW w:w="1667" w:type="dxa"/>
            <w:vMerge/>
          </w:tcPr>
          <w:p w14:paraId="1632C219" w14:textId="77777777" w:rsidR="0010108C" w:rsidRPr="0010108C" w:rsidRDefault="0010108C" w:rsidP="0010108C">
            <w:pPr>
              <w:pStyle w:val="TableText"/>
              <w:rPr>
                <w:rFonts w:ascii="Arial" w:eastAsia="Times New Roman" w:hAnsi="Arial" w:cs="Arial"/>
                <w:sz w:val="16"/>
                <w:szCs w:val="16"/>
              </w:rPr>
            </w:pPr>
          </w:p>
        </w:tc>
        <w:tc>
          <w:tcPr>
            <w:tcW w:w="1212" w:type="dxa"/>
          </w:tcPr>
          <w:p w14:paraId="344CF45A"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1mg/kg</w:t>
            </w:r>
          </w:p>
        </w:tc>
        <w:tc>
          <w:tcPr>
            <w:tcW w:w="988" w:type="dxa"/>
          </w:tcPr>
          <w:p w14:paraId="0746EE2D"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10 mg/kg</w:t>
            </w:r>
          </w:p>
        </w:tc>
        <w:tc>
          <w:tcPr>
            <w:tcW w:w="1323" w:type="dxa"/>
          </w:tcPr>
          <w:p w14:paraId="472BE0C8"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Public open space</w:t>
            </w:r>
          </w:p>
        </w:tc>
        <w:tc>
          <w:tcPr>
            <w:tcW w:w="3484" w:type="dxa"/>
          </w:tcPr>
          <w:p w14:paraId="795B277A" w14:textId="77777777" w:rsidR="0010108C" w:rsidRPr="0010108C" w:rsidRDefault="0010108C" w:rsidP="004564FF">
            <w:pPr>
              <w:pStyle w:val="TableText"/>
              <w:spacing w:after="0"/>
              <w:rPr>
                <w:rFonts w:ascii="Arial" w:eastAsia="Times New Roman" w:hAnsi="Arial" w:cs="Arial"/>
                <w:spacing w:val="-7"/>
                <w:sz w:val="16"/>
                <w:szCs w:val="16"/>
              </w:rPr>
            </w:pPr>
            <w:r w:rsidRPr="0010108C">
              <w:rPr>
                <w:rFonts w:ascii="Arial" w:eastAsia="Times New Roman" w:hAnsi="Arial" w:cs="Arial"/>
                <w:spacing w:val="-7"/>
                <w:sz w:val="16"/>
                <w:szCs w:val="16"/>
              </w:rPr>
              <w:t>Based on 20% of FSANZ TDI, i.e. up to 80% of exposure is assumed to come from other pathways.</w:t>
            </w:r>
          </w:p>
          <w:p w14:paraId="390676D2" w14:textId="77777777" w:rsidR="0010108C" w:rsidRPr="0010108C" w:rsidRDefault="0010108C" w:rsidP="0010108C">
            <w:pPr>
              <w:pStyle w:val="TableText"/>
              <w:rPr>
                <w:rFonts w:ascii="Arial" w:eastAsia="Times New Roman" w:hAnsi="Arial" w:cs="Arial"/>
                <w:spacing w:val="-7"/>
                <w:sz w:val="16"/>
                <w:szCs w:val="16"/>
              </w:rPr>
            </w:pPr>
            <w:r w:rsidRPr="0010108C">
              <w:rPr>
                <w:rFonts w:ascii="Arial" w:eastAsia="Times New Roman" w:hAnsi="Arial" w:cs="Arial"/>
                <w:spacing w:val="-7"/>
                <w:sz w:val="16"/>
                <w:szCs w:val="16"/>
              </w:rPr>
              <w:t>National Environment Protection (Assessment of Site Contamination) Measure Health Investigation Level C assumptions for public open space such as parks, playgrounds, playing fields (e.g. ovals), secondary schools (except where soil used for agriculture studies) and footpaths. It does not include undeveloped public open space (such as urban bushland and reserves) which should be subject to a site-specific assessment where appropriate.</w:t>
            </w:r>
          </w:p>
        </w:tc>
      </w:tr>
      <w:tr w:rsidR="00D8522C" w:rsidRPr="0010108C" w14:paraId="0E4257D3" w14:textId="77777777" w:rsidTr="00414251">
        <w:tc>
          <w:tcPr>
            <w:tcW w:w="1667" w:type="dxa"/>
            <w:vMerge/>
          </w:tcPr>
          <w:p w14:paraId="22464226" w14:textId="77777777" w:rsidR="0010108C" w:rsidRPr="0010108C" w:rsidRDefault="0010108C" w:rsidP="0010108C">
            <w:pPr>
              <w:pStyle w:val="TableText"/>
              <w:rPr>
                <w:rFonts w:ascii="Arial" w:eastAsia="Times New Roman" w:hAnsi="Arial" w:cs="Arial"/>
                <w:sz w:val="16"/>
                <w:szCs w:val="16"/>
              </w:rPr>
            </w:pPr>
          </w:p>
        </w:tc>
        <w:tc>
          <w:tcPr>
            <w:tcW w:w="1212" w:type="dxa"/>
          </w:tcPr>
          <w:p w14:paraId="7C646007"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20 mg/kg</w:t>
            </w:r>
          </w:p>
        </w:tc>
        <w:tc>
          <w:tcPr>
            <w:tcW w:w="988" w:type="dxa"/>
          </w:tcPr>
          <w:p w14:paraId="31C4DD89"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50 mg/kg</w:t>
            </w:r>
          </w:p>
        </w:tc>
        <w:tc>
          <w:tcPr>
            <w:tcW w:w="1323" w:type="dxa"/>
          </w:tcPr>
          <w:p w14:paraId="6873A74F" w14:textId="77777777" w:rsidR="0010108C" w:rsidRPr="0010108C" w:rsidRDefault="0010108C" w:rsidP="0010108C">
            <w:pPr>
              <w:pStyle w:val="TableText"/>
              <w:rPr>
                <w:rFonts w:ascii="Arial" w:eastAsia="Times New Roman" w:hAnsi="Arial" w:cs="Arial"/>
                <w:sz w:val="16"/>
                <w:szCs w:val="16"/>
              </w:rPr>
            </w:pPr>
            <w:r w:rsidRPr="0010108C">
              <w:rPr>
                <w:rFonts w:ascii="Arial" w:eastAsia="Times New Roman" w:hAnsi="Arial" w:cs="Arial"/>
                <w:sz w:val="16"/>
                <w:szCs w:val="16"/>
              </w:rPr>
              <w:t>Industrial/ commercial</w:t>
            </w:r>
          </w:p>
        </w:tc>
        <w:tc>
          <w:tcPr>
            <w:tcW w:w="3484" w:type="dxa"/>
          </w:tcPr>
          <w:p w14:paraId="37E67A09" w14:textId="77777777" w:rsidR="0010108C" w:rsidRPr="0010108C" w:rsidRDefault="0010108C" w:rsidP="004564FF">
            <w:pPr>
              <w:pStyle w:val="TableText"/>
              <w:spacing w:after="0"/>
              <w:rPr>
                <w:rFonts w:ascii="Arial" w:eastAsia="Times New Roman" w:hAnsi="Arial" w:cs="Arial"/>
                <w:spacing w:val="-7"/>
                <w:sz w:val="16"/>
                <w:szCs w:val="16"/>
              </w:rPr>
            </w:pPr>
            <w:r w:rsidRPr="0010108C">
              <w:rPr>
                <w:rFonts w:ascii="Arial" w:eastAsia="Times New Roman" w:hAnsi="Arial" w:cs="Arial"/>
                <w:spacing w:val="-7"/>
                <w:sz w:val="16"/>
                <w:szCs w:val="16"/>
              </w:rPr>
              <w:t xml:space="preserve">Based on 20% of FSANZ TDI, i.e. up to 80% of exposure is assumed to come from other pathways. </w:t>
            </w:r>
          </w:p>
          <w:p w14:paraId="1FE47A2C" w14:textId="77777777" w:rsidR="0010108C" w:rsidRPr="0010108C" w:rsidRDefault="0010108C" w:rsidP="004564FF">
            <w:pPr>
              <w:pStyle w:val="TableText"/>
              <w:spacing w:after="0"/>
              <w:rPr>
                <w:rFonts w:ascii="Arial" w:eastAsia="Times New Roman" w:hAnsi="Arial" w:cs="Arial"/>
                <w:spacing w:val="-7"/>
                <w:sz w:val="16"/>
                <w:szCs w:val="16"/>
              </w:rPr>
            </w:pPr>
            <w:r w:rsidRPr="0010108C">
              <w:rPr>
                <w:rFonts w:ascii="Arial" w:eastAsia="Times New Roman" w:hAnsi="Arial" w:cs="Arial"/>
                <w:spacing w:val="-7"/>
                <w:sz w:val="16"/>
                <w:szCs w:val="16"/>
              </w:rPr>
              <w:t>National Environment Protection (Assessment of Site Contamination) Measure Health Investigation Level-D assumptions including 8</w:t>
            </w:r>
            <w:r w:rsidR="004564FF">
              <w:rPr>
                <w:rFonts w:ascii="Arial" w:eastAsia="Times New Roman" w:hAnsi="Arial" w:cs="Arial"/>
                <w:spacing w:val="-7"/>
                <w:sz w:val="16"/>
                <w:szCs w:val="16"/>
              </w:rPr>
              <w:t> </w:t>
            </w:r>
            <w:r w:rsidRPr="0010108C">
              <w:rPr>
                <w:rFonts w:ascii="Arial" w:eastAsia="Times New Roman" w:hAnsi="Arial" w:cs="Arial"/>
                <w:spacing w:val="-7"/>
                <w:sz w:val="16"/>
                <w:szCs w:val="16"/>
              </w:rPr>
              <w:t>hrs spent indoors and 1 hr spent outdoors at a site such as a shop, office, factory or industrial site.</w:t>
            </w:r>
          </w:p>
          <w:p w14:paraId="1B2FA7BA" w14:textId="77777777" w:rsidR="0010108C" w:rsidRPr="0010108C" w:rsidRDefault="0010108C" w:rsidP="004564FF">
            <w:pPr>
              <w:pStyle w:val="TableText"/>
              <w:rPr>
                <w:rFonts w:ascii="Arial" w:eastAsia="Times New Roman" w:hAnsi="Arial" w:cs="Arial"/>
                <w:spacing w:val="-7"/>
                <w:sz w:val="16"/>
                <w:szCs w:val="16"/>
              </w:rPr>
            </w:pPr>
            <w:r w:rsidRPr="0010108C">
              <w:rPr>
                <w:rFonts w:ascii="Arial" w:eastAsia="Times New Roman" w:hAnsi="Arial" w:cs="Arial"/>
                <w:spacing w:val="-7"/>
                <w:sz w:val="16"/>
                <w:szCs w:val="16"/>
              </w:rPr>
              <w:t>Note: the industrial commercial — Ecological Direct Exposure for PFOA has been set as 50</w:t>
            </w:r>
            <w:r w:rsidR="004564FF">
              <w:rPr>
                <w:rFonts w:ascii="Arial" w:eastAsia="Times New Roman" w:hAnsi="Arial" w:cs="Arial"/>
                <w:spacing w:val="-7"/>
                <w:sz w:val="16"/>
                <w:szCs w:val="16"/>
              </w:rPr>
              <w:t> </w:t>
            </w:r>
            <w:r w:rsidRPr="0010108C">
              <w:rPr>
                <w:rFonts w:ascii="Arial" w:eastAsia="Times New Roman" w:hAnsi="Arial" w:cs="Arial"/>
                <w:spacing w:val="-7"/>
                <w:sz w:val="16"/>
                <w:szCs w:val="16"/>
              </w:rPr>
              <w:t>mg/kg in anticipation of the Stockholm Convention low content limit of 50 mg/kg.</w:t>
            </w:r>
          </w:p>
        </w:tc>
      </w:tr>
    </w:tbl>
    <w:p w14:paraId="222FF78C" w14:textId="77777777" w:rsidR="00414251" w:rsidRPr="00414251" w:rsidRDefault="00414251" w:rsidP="00414251">
      <w:pPr>
        <w:pStyle w:val="Tableheading"/>
        <w:spacing w:after="0"/>
        <w:rPr>
          <w:rFonts w:ascii="Arial" w:eastAsia="Times New Roman" w:hAnsi="Arial" w:cs="Arial"/>
          <w:sz w:val="18"/>
          <w:szCs w:val="18"/>
        </w:rPr>
      </w:pPr>
      <w:r w:rsidRPr="00414251">
        <w:rPr>
          <w:rFonts w:ascii="Arial" w:eastAsia="Times New Roman" w:hAnsi="Arial" w:cs="Arial"/>
          <w:sz w:val="18"/>
          <w:szCs w:val="18"/>
        </w:rPr>
        <w:lastRenderedPageBreak/>
        <w:t>Table 3: Soil criteria for investigation — ecological guideline values</w:t>
      </w:r>
    </w:p>
    <w:p w14:paraId="25386AB0" w14:textId="77777777" w:rsidR="00414251" w:rsidRPr="00414251" w:rsidRDefault="00414251" w:rsidP="00BB4F46">
      <w:pPr>
        <w:pStyle w:val="BodyText"/>
        <w:spacing w:after="60" w:line="240" w:lineRule="atLeast"/>
        <w:rPr>
          <w:rFonts w:ascii="Arial" w:eastAsia="Times New Roman" w:hAnsi="Arial" w:cs="Arial"/>
          <w:sz w:val="18"/>
          <w:szCs w:val="18"/>
        </w:rPr>
      </w:pPr>
      <w:r w:rsidRPr="00414251">
        <w:rPr>
          <w:rFonts w:ascii="Arial" w:eastAsia="Times New Roman" w:hAnsi="Arial" w:cs="Arial"/>
          <w:sz w:val="18"/>
          <w:szCs w:val="18"/>
        </w:rPr>
        <w:t>Soil guideline values for ecological protection need to consider both direct exposure and indirect exposure. Direct exposure applies specifically to protection of organisms that live within, or are closely associated with, the soil, such as earthworms and plants. The direct exposure guidelines can be used to assess the possibility of harm to these organisms. In the absence of acceptable published guideline values for direct exposure, the Soil Criteria — Human Heath are recommended as an interim position. Other factors important for assessing exposure, for example bioaccumulation and leaching/off-site transport, must be accounted for by including other lines of investigation.</w:t>
      </w:r>
    </w:p>
    <w:p w14:paraId="00619797" w14:textId="77777777" w:rsidR="0010108C" w:rsidRPr="00414251" w:rsidRDefault="00414251" w:rsidP="0052630D">
      <w:pPr>
        <w:pStyle w:val="BodyText"/>
        <w:spacing w:after="0" w:line="240" w:lineRule="atLeast"/>
        <w:rPr>
          <w:rFonts w:ascii="Arial" w:eastAsia="Times New Roman" w:hAnsi="Arial" w:cs="Arial"/>
          <w:sz w:val="18"/>
          <w:szCs w:val="18"/>
        </w:rPr>
      </w:pPr>
      <w:r w:rsidRPr="00414251">
        <w:rPr>
          <w:rFonts w:ascii="Arial" w:eastAsia="Times New Roman" w:hAnsi="Arial" w:cs="Arial"/>
          <w:sz w:val="18"/>
          <w:szCs w:val="18"/>
        </w:rPr>
        <w:t>The indirect exposure guideline values are intended to amount for the various pathways other organisms can be exposed due to bioaccumulation and/or off-site transport. The Canadian ecological soil guideline values, adopted here as interim criteria, assessed a range of these exposure pathways scenarios, and the PFOS criteria were set based on the most sensitive of those pathways. As an interim measure, these values can be used for screening these important indirect pathways.</w:t>
      </w:r>
    </w:p>
    <w:p w14:paraId="3B01316E" w14:textId="77777777" w:rsidR="00F062E4" w:rsidRPr="00F062E4" w:rsidRDefault="00F062E4" w:rsidP="00F062E4">
      <w:pPr>
        <w:pStyle w:val="BodyText"/>
        <w:spacing w:before="0" w:after="0"/>
        <w:rPr>
          <w:rFonts w:ascii="Arial" w:eastAsia="Tahoma" w:hAnsi="Arial" w:cs="Arial"/>
          <w:sz w:val="18"/>
          <w:szCs w:val="18"/>
        </w:rPr>
      </w:pPr>
    </w:p>
    <w:tbl>
      <w:tblPr>
        <w:tblStyle w:val="TableGrid"/>
        <w:tblW w:w="0" w:type="auto"/>
        <w:tblInd w:w="11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657"/>
        <w:gridCol w:w="1108"/>
        <w:gridCol w:w="975"/>
        <w:gridCol w:w="1740"/>
        <w:gridCol w:w="2911"/>
      </w:tblGrid>
      <w:tr w:rsidR="00F062E4" w:rsidRPr="00F062E4" w14:paraId="277542B8" w14:textId="77777777" w:rsidTr="00F062E4">
        <w:tc>
          <w:tcPr>
            <w:tcW w:w="1696" w:type="dxa"/>
            <w:tcBorders>
              <w:top w:val="single" w:sz="4" w:space="0" w:color="ECF1F3"/>
              <w:bottom w:val="single" w:sz="4" w:space="0" w:color="ECF1F3"/>
              <w:right w:val="single" w:sz="4" w:space="0" w:color="ECF1F3"/>
            </w:tcBorders>
            <w:shd w:val="clear" w:color="auto" w:fill="ECF1F3" w:themeFill="accent3" w:themeFillTint="66"/>
            <w:vAlign w:val="bottom"/>
          </w:tcPr>
          <w:p w14:paraId="37D21DEF" w14:textId="77777777" w:rsidR="00F062E4" w:rsidRPr="00F062E4" w:rsidRDefault="00F062E4" w:rsidP="00F062E4">
            <w:pPr>
              <w:pStyle w:val="TableTextbold"/>
              <w:rPr>
                <w:rFonts w:ascii="Arial" w:eastAsia="Times New Roman" w:hAnsi="Arial" w:cs="Arial"/>
                <w:sz w:val="16"/>
                <w:szCs w:val="16"/>
              </w:rPr>
            </w:pPr>
            <w:r w:rsidRPr="00F062E4">
              <w:rPr>
                <w:rFonts w:ascii="Arial" w:eastAsia="Times New Roman" w:hAnsi="Arial" w:cs="Arial"/>
                <w:sz w:val="16"/>
                <w:szCs w:val="16"/>
              </w:rPr>
              <w:t xml:space="preserve">Exposure scenario </w:t>
            </w:r>
          </w:p>
        </w:tc>
        <w:tc>
          <w:tcPr>
            <w:tcW w:w="1134"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vAlign w:val="bottom"/>
          </w:tcPr>
          <w:p w14:paraId="12D31AF1" w14:textId="77777777" w:rsidR="00F062E4" w:rsidRPr="00F062E4" w:rsidRDefault="00F062E4" w:rsidP="00F062E4">
            <w:pPr>
              <w:pStyle w:val="TableTextbold"/>
              <w:rPr>
                <w:rFonts w:ascii="Arial" w:eastAsia="Times New Roman" w:hAnsi="Arial" w:cs="Arial"/>
                <w:sz w:val="16"/>
                <w:szCs w:val="16"/>
              </w:rPr>
            </w:pPr>
            <w:r w:rsidRPr="00F062E4">
              <w:rPr>
                <w:rFonts w:ascii="Arial" w:eastAsia="Times New Roman" w:hAnsi="Arial" w:cs="Arial"/>
                <w:sz w:val="16"/>
                <w:szCs w:val="16"/>
              </w:rPr>
              <w:t>PFOS</w:t>
            </w:r>
          </w:p>
        </w:tc>
        <w:tc>
          <w:tcPr>
            <w:tcW w:w="993"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vAlign w:val="bottom"/>
          </w:tcPr>
          <w:p w14:paraId="47BD3D1B" w14:textId="77777777" w:rsidR="00F062E4" w:rsidRPr="00F062E4" w:rsidRDefault="00F062E4" w:rsidP="00F062E4">
            <w:pPr>
              <w:pStyle w:val="TableTextbold"/>
              <w:rPr>
                <w:rFonts w:ascii="Arial" w:eastAsia="Times New Roman" w:hAnsi="Arial" w:cs="Arial"/>
                <w:sz w:val="16"/>
                <w:szCs w:val="16"/>
              </w:rPr>
            </w:pPr>
            <w:r w:rsidRPr="00F062E4">
              <w:rPr>
                <w:rFonts w:ascii="Arial" w:eastAsia="Times New Roman" w:hAnsi="Arial" w:cs="Arial"/>
                <w:sz w:val="16"/>
                <w:szCs w:val="16"/>
              </w:rPr>
              <w:t>PFOA</w:t>
            </w:r>
          </w:p>
        </w:tc>
        <w:tc>
          <w:tcPr>
            <w:tcW w:w="1780"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vAlign w:val="bottom"/>
          </w:tcPr>
          <w:p w14:paraId="41DE1F6F" w14:textId="77777777" w:rsidR="00F062E4" w:rsidRPr="00F062E4" w:rsidRDefault="00F062E4" w:rsidP="00F062E4">
            <w:pPr>
              <w:pStyle w:val="TableTextbold"/>
              <w:rPr>
                <w:rFonts w:ascii="Arial" w:eastAsia="Times New Roman" w:hAnsi="Arial" w:cs="Arial"/>
                <w:sz w:val="16"/>
                <w:szCs w:val="16"/>
              </w:rPr>
            </w:pPr>
            <w:r w:rsidRPr="00F062E4">
              <w:rPr>
                <w:rFonts w:ascii="Arial" w:eastAsia="Times New Roman" w:hAnsi="Arial" w:cs="Arial"/>
                <w:sz w:val="16"/>
                <w:szCs w:val="16"/>
              </w:rPr>
              <w:t>Land use</w:t>
            </w:r>
          </w:p>
        </w:tc>
        <w:tc>
          <w:tcPr>
            <w:tcW w:w="3004" w:type="dxa"/>
            <w:tcBorders>
              <w:top w:val="single" w:sz="4" w:space="0" w:color="ECF1F3"/>
              <w:left w:val="single" w:sz="4" w:space="0" w:color="ECF1F3"/>
              <w:bottom w:val="single" w:sz="4" w:space="0" w:color="ECF1F3"/>
            </w:tcBorders>
            <w:shd w:val="clear" w:color="auto" w:fill="ECF1F3" w:themeFill="accent3" w:themeFillTint="66"/>
            <w:vAlign w:val="bottom"/>
          </w:tcPr>
          <w:p w14:paraId="0168AB03" w14:textId="77777777" w:rsidR="00F062E4" w:rsidRPr="00F062E4" w:rsidRDefault="00F062E4" w:rsidP="00F062E4">
            <w:pPr>
              <w:pStyle w:val="TableTextbold"/>
              <w:rPr>
                <w:rFonts w:ascii="Arial" w:eastAsia="Times New Roman" w:hAnsi="Arial" w:cs="Arial"/>
                <w:sz w:val="16"/>
                <w:szCs w:val="16"/>
              </w:rPr>
            </w:pPr>
            <w:r w:rsidRPr="00F062E4">
              <w:rPr>
                <w:rFonts w:ascii="Arial" w:eastAsia="Times New Roman" w:hAnsi="Arial" w:cs="Arial"/>
                <w:sz w:val="16"/>
                <w:szCs w:val="16"/>
              </w:rPr>
              <w:t>Comments and sources</w:t>
            </w:r>
          </w:p>
        </w:tc>
      </w:tr>
      <w:tr w:rsidR="00F062E4" w:rsidRPr="00F062E4" w14:paraId="10D4800C" w14:textId="77777777" w:rsidTr="00F062E4">
        <w:tc>
          <w:tcPr>
            <w:tcW w:w="1696" w:type="dxa"/>
            <w:tcBorders>
              <w:top w:val="single" w:sz="4" w:space="0" w:color="ECF1F3"/>
            </w:tcBorders>
          </w:tcPr>
          <w:p w14:paraId="588D6243"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Interim soil – ecological direct exposure</w:t>
            </w:r>
          </w:p>
        </w:tc>
        <w:tc>
          <w:tcPr>
            <w:tcW w:w="1134" w:type="dxa"/>
            <w:tcBorders>
              <w:top w:val="single" w:sz="4" w:space="0" w:color="ECF1F3"/>
            </w:tcBorders>
          </w:tcPr>
          <w:p w14:paraId="42FF8C61"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1 mg/kg</w:t>
            </w:r>
          </w:p>
        </w:tc>
        <w:tc>
          <w:tcPr>
            <w:tcW w:w="993" w:type="dxa"/>
            <w:tcBorders>
              <w:top w:val="single" w:sz="4" w:space="0" w:color="ECF1F3"/>
            </w:tcBorders>
          </w:tcPr>
          <w:p w14:paraId="60B933E9"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10 mg/kg</w:t>
            </w:r>
          </w:p>
        </w:tc>
        <w:tc>
          <w:tcPr>
            <w:tcW w:w="1780" w:type="dxa"/>
            <w:tcBorders>
              <w:top w:val="single" w:sz="4" w:space="0" w:color="ECF1F3"/>
            </w:tcBorders>
          </w:tcPr>
          <w:p w14:paraId="3C096735"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Public open space</w:t>
            </w:r>
          </w:p>
        </w:tc>
        <w:tc>
          <w:tcPr>
            <w:tcW w:w="3004" w:type="dxa"/>
            <w:tcBorders>
              <w:top w:val="single" w:sz="4" w:space="0" w:color="ECF1F3"/>
            </w:tcBorders>
          </w:tcPr>
          <w:p w14:paraId="4FC935DE"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Future work is recommended to review available soil – ecological direct exposure criteria proposed by Australian research and industry organisations³.</w:t>
            </w:r>
          </w:p>
          <w:p w14:paraId="752468C7" w14:textId="77777777" w:rsidR="00F062E4" w:rsidRPr="00F062E4" w:rsidRDefault="00F062E4" w:rsidP="005B107B">
            <w:pPr>
              <w:pStyle w:val="TableText"/>
              <w:rPr>
                <w:rFonts w:ascii="Arial" w:eastAsia="Times New Roman" w:hAnsi="Arial" w:cs="Arial"/>
                <w:sz w:val="16"/>
                <w:szCs w:val="16"/>
              </w:rPr>
            </w:pPr>
            <w:r w:rsidRPr="00F062E4">
              <w:rPr>
                <w:rFonts w:ascii="Arial" w:eastAsia="Times New Roman" w:hAnsi="Arial" w:cs="Arial"/>
                <w:sz w:val="16"/>
                <w:szCs w:val="16"/>
              </w:rPr>
              <w:t>As an interim, it is proposed that the human health screening value for Public open space be used (see Table</w:t>
            </w:r>
            <w:r w:rsidR="005B107B">
              <w:rPr>
                <w:rFonts w:ascii="Arial" w:eastAsia="Times New Roman" w:hAnsi="Arial" w:cs="Arial"/>
                <w:sz w:val="16"/>
                <w:szCs w:val="16"/>
              </w:rPr>
              <w:t> </w:t>
            </w:r>
            <w:r w:rsidRPr="00F062E4">
              <w:rPr>
                <w:rFonts w:ascii="Arial" w:eastAsia="Times New Roman" w:hAnsi="Arial" w:cs="Arial"/>
                <w:sz w:val="16"/>
                <w:szCs w:val="16"/>
              </w:rPr>
              <w:t>2).</w:t>
            </w:r>
          </w:p>
        </w:tc>
      </w:tr>
      <w:tr w:rsidR="00F062E4" w:rsidRPr="00F062E4" w14:paraId="631A1947" w14:textId="77777777" w:rsidTr="00F062E4">
        <w:tc>
          <w:tcPr>
            <w:tcW w:w="1696" w:type="dxa"/>
            <w:vMerge w:val="restart"/>
          </w:tcPr>
          <w:p w14:paraId="4341199C"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Interim soil – ecological indirect exposure</w:t>
            </w:r>
          </w:p>
        </w:tc>
        <w:tc>
          <w:tcPr>
            <w:tcW w:w="1134" w:type="dxa"/>
          </w:tcPr>
          <w:p w14:paraId="338059ED"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0.01 mg/kg</w:t>
            </w:r>
          </w:p>
        </w:tc>
        <w:tc>
          <w:tcPr>
            <w:tcW w:w="993" w:type="dxa"/>
          </w:tcPr>
          <w:p w14:paraId="5E06B449" w14:textId="77777777" w:rsidR="00F062E4" w:rsidRPr="00F062E4" w:rsidRDefault="00F062E4" w:rsidP="00F062E4">
            <w:pPr>
              <w:pStyle w:val="TableText"/>
              <w:rPr>
                <w:rFonts w:ascii="Arial" w:eastAsia="Times New Roman" w:hAnsi="Arial" w:cs="Arial"/>
                <w:sz w:val="16"/>
                <w:szCs w:val="16"/>
              </w:rPr>
            </w:pPr>
          </w:p>
        </w:tc>
        <w:tc>
          <w:tcPr>
            <w:tcW w:w="1780" w:type="dxa"/>
          </w:tcPr>
          <w:p w14:paraId="423F3088"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Residential</w:t>
            </w:r>
          </w:p>
        </w:tc>
        <w:tc>
          <w:tcPr>
            <w:tcW w:w="3004" w:type="dxa"/>
            <w:vMerge w:val="restart"/>
          </w:tcPr>
          <w:p w14:paraId="0D35AD59"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2017 Canadian Federal Environmental Quality Guidelines for Residential and Parkland (soil ingestion by a secondary consumer) and Commercial and Industrial – Coarse Soil (concentration in soil that is expected to protect against potential impacts on freshwater life from PFOS originating in groundwater and subsequently discharge to a surface water body.)</w:t>
            </w:r>
          </w:p>
          <w:p w14:paraId="5F47DDF0"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 xml:space="preserve">Future work is recommended to review these values for the Australian context. The Canadian Guidelines are currently being finalised. </w:t>
            </w:r>
          </w:p>
        </w:tc>
      </w:tr>
      <w:tr w:rsidR="00F062E4" w:rsidRPr="00F062E4" w14:paraId="5CA51196" w14:textId="77777777" w:rsidTr="00F062E4">
        <w:tc>
          <w:tcPr>
            <w:tcW w:w="1696" w:type="dxa"/>
            <w:vMerge/>
          </w:tcPr>
          <w:p w14:paraId="7B489181" w14:textId="77777777" w:rsidR="00F062E4" w:rsidRPr="00F062E4" w:rsidRDefault="00F062E4" w:rsidP="00F062E4">
            <w:pPr>
              <w:pStyle w:val="TableText"/>
              <w:rPr>
                <w:rFonts w:ascii="Arial" w:eastAsia="Times New Roman" w:hAnsi="Arial" w:cs="Arial"/>
                <w:sz w:val="16"/>
                <w:szCs w:val="16"/>
              </w:rPr>
            </w:pPr>
          </w:p>
        </w:tc>
        <w:tc>
          <w:tcPr>
            <w:tcW w:w="1134" w:type="dxa"/>
          </w:tcPr>
          <w:p w14:paraId="2A030477"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0.140 mg/kg</w:t>
            </w:r>
          </w:p>
        </w:tc>
        <w:tc>
          <w:tcPr>
            <w:tcW w:w="993" w:type="dxa"/>
          </w:tcPr>
          <w:p w14:paraId="50CF13C9" w14:textId="77777777" w:rsidR="00F062E4" w:rsidRPr="00F062E4" w:rsidRDefault="00F062E4" w:rsidP="00F062E4">
            <w:pPr>
              <w:pStyle w:val="TableText"/>
              <w:rPr>
                <w:rFonts w:ascii="Arial" w:eastAsia="Times New Roman" w:hAnsi="Arial" w:cs="Arial"/>
                <w:sz w:val="16"/>
                <w:szCs w:val="16"/>
              </w:rPr>
            </w:pPr>
          </w:p>
        </w:tc>
        <w:tc>
          <w:tcPr>
            <w:tcW w:w="1780" w:type="dxa"/>
          </w:tcPr>
          <w:p w14:paraId="3336D598" w14:textId="77777777" w:rsidR="00F062E4" w:rsidRPr="00F062E4" w:rsidRDefault="00F062E4" w:rsidP="00F062E4">
            <w:pPr>
              <w:pStyle w:val="TableText"/>
              <w:rPr>
                <w:rFonts w:ascii="Arial" w:eastAsia="Times New Roman" w:hAnsi="Arial" w:cs="Arial"/>
                <w:sz w:val="16"/>
                <w:szCs w:val="16"/>
              </w:rPr>
            </w:pPr>
            <w:r w:rsidRPr="00F062E4">
              <w:rPr>
                <w:rFonts w:ascii="Arial" w:eastAsia="Times New Roman" w:hAnsi="Arial" w:cs="Arial"/>
                <w:sz w:val="16"/>
                <w:szCs w:val="16"/>
              </w:rPr>
              <w:t>Industrial/ commercial</w:t>
            </w:r>
          </w:p>
        </w:tc>
        <w:tc>
          <w:tcPr>
            <w:tcW w:w="3004" w:type="dxa"/>
            <w:vMerge/>
          </w:tcPr>
          <w:p w14:paraId="59ACFE4F" w14:textId="77777777" w:rsidR="00F062E4" w:rsidRPr="00F062E4" w:rsidRDefault="00F062E4" w:rsidP="00F062E4">
            <w:pPr>
              <w:pStyle w:val="TableText"/>
              <w:rPr>
                <w:rFonts w:ascii="Arial" w:eastAsia="Times New Roman" w:hAnsi="Arial" w:cs="Arial"/>
                <w:sz w:val="16"/>
                <w:szCs w:val="16"/>
              </w:rPr>
            </w:pPr>
          </w:p>
        </w:tc>
      </w:tr>
    </w:tbl>
    <w:p w14:paraId="43A08F1E" w14:textId="77777777" w:rsidR="00F062E4" w:rsidRDefault="00F062E4" w:rsidP="00F062E4">
      <w:pPr>
        <w:tabs>
          <w:tab w:val="left" w:pos="4608"/>
        </w:tabs>
        <w:spacing w:before="132" w:line="207" w:lineRule="exact"/>
        <w:textAlignment w:val="baseline"/>
        <w:rPr>
          <w:rFonts w:eastAsia="Times New Roman" w:cstheme="minorHAnsi"/>
          <w:color w:val="10171E"/>
          <w:spacing w:val="-4"/>
          <w:sz w:val="23"/>
          <w:szCs w:val="23"/>
        </w:rPr>
      </w:pPr>
    </w:p>
    <w:p w14:paraId="019F53C2" w14:textId="77777777" w:rsidR="0010108C" w:rsidRDefault="0010108C" w:rsidP="00414251">
      <w:pPr>
        <w:pStyle w:val="BodyText"/>
        <w:rPr>
          <w:rFonts w:ascii="Arial" w:hAnsi="Arial" w:cs="Arial"/>
          <w:sz w:val="18"/>
          <w:szCs w:val="18"/>
        </w:rPr>
      </w:pPr>
    </w:p>
    <w:p w14:paraId="585CF57E" w14:textId="77777777" w:rsidR="005B107B" w:rsidRDefault="005B107B" w:rsidP="00414251">
      <w:pPr>
        <w:pStyle w:val="BodyText"/>
        <w:rPr>
          <w:rFonts w:ascii="Arial" w:hAnsi="Arial" w:cs="Arial"/>
          <w:sz w:val="18"/>
          <w:szCs w:val="18"/>
        </w:rPr>
      </w:pPr>
    </w:p>
    <w:p w14:paraId="0142CF93" w14:textId="77777777" w:rsidR="005B107B" w:rsidRDefault="005B107B" w:rsidP="00414251">
      <w:pPr>
        <w:pStyle w:val="BodyText"/>
        <w:rPr>
          <w:rFonts w:ascii="Arial" w:hAnsi="Arial" w:cs="Arial"/>
          <w:sz w:val="18"/>
          <w:szCs w:val="18"/>
        </w:rPr>
      </w:pPr>
    </w:p>
    <w:p w14:paraId="7B21EF73" w14:textId="77777777" w:rsidR="005B107B" w:rsidRDefault="005B107B" w:rsidP="00414251">
      <w:pPr>
        <w:pStyle w:val="BodyText"/>
        <w:rPr>
          <w:rFonts w:ascii="Arial" w:hAnsi="Arial" w:cs="Arial"/>
          <w:sz w:val="18"/>
          <w:szCs w:val="18"/>
        </w:rPr>
      </w:pPr>
    </w:p>
    <w:p w14:paraId="5FEBFFB2" w14:textId="77777777" w:rsidR="0052630D" w:rsidRDefault="0052630D" w:rsidP="00414251">
      <w:pPr>
        <w:pStyle w:val="BodyText"/>
        <w:rPr>
          <w:rFonts w:ascii="Arial" w:hAnsi="Arial" w:cs="Arial"/>
          <w:sz w:val="18"/>
          <w:szCs w:val="18"/>
        </w:rPr>
      </w:pPr>
    </w:p>
    <w:p w14:paraId="7BBD2AD9" w14:textId="77777777" w:rsidR="005B107B" w:rsidRPr="005B107B" w:rsidRDefault="005B107B" w:rsidP="005B107B">
      <w:pPr>
        <w:pStyle w:val="Note"/>
        <w:pBdr>
          <w:top w:val="single" w:sz="4" w:space="6" w:color="0F7B7D" w:themeColor="accent2"/>
        </w:pBdr>
        <w:spacing w:line="220" w:lineRule="atLeast"/>
        <w:rPr>
          <w:rFonts w:ascii="Arial" w:eastAsia="Times New Roman" w:hAnsi="Arial" w:cs="Arial"/>
          <w:sz w:val="16"/>
          <w:szCs w:val="16"/>
        </w:rPr>
      </w:pPr>
      <w:r w:rsidRPr="005B107B">
        <w:rPr>
          <w:rFonts w:ascii="Arial" w:eastAsia="Times New Roman" w:hAnsi="Arial" w:cs="Arial"/>
          <w:sz w:val="16"/>
          <w:szCs w:val="16"/>
        </w:rPr>
        <w:t>³</w:t>
      </w:r>
      <w:r>
        <w:rPr>
          <w:rFonts w:ascii="Arial" w:eastAsia="Times New Roman" w:hAnsi="Arial" w:cs="Arial"/>
          <w:sz w:val="16"/>
          <w:szCs w:val="16"/>
        </w:rPr>
        <w:t xml:space="preserve"> </w:t>
      </w:r>
      <w:r w:rsidRPr="005B107B">
        <w:rPr>
          <w:rFonts w:ascii="Arial" w:eastAsia="Times New Roman" w:hAnsi="Arial" w:cs="Arial"/>
          <w:sz w:val="16"/>
          <w:szCs w:val="16"/>
        </w:rPr>
        <w:t>For example, CEC CARE 2017, Assessment, management and remediation guidance for Perfluorooctanesulphonate (PFOS) and perfluorooctanoic acid (PFOA) – Part 3: ecological screening levels, CEC CARE Technical Report no. 38, CRC for Contamination Assessment and Remediation of the Environment, Newcastle, Australia</w:t>
      </w:r>
    </w:p>
    <w:p w14:paraId="6230D230" w14:textId="77777777" w:rsidR="0052630D" w:rsidRPr="0052630D" w:rsidRDefault="0052630D" w:rsidP="0052630D">
      <w:pPr>
        <w:pStyle w:val="BodyText"/>
        <w:spacing w:after="0"/>
        <w:rPr>
          <w:rFonts w:ascii="Arial" w:hAnsi="Arial" w:cs="Arial"/>
          <w:b/>
          <w:sz w:val="18"/>
          <w:szCs w:val="18"/>
        </w:rPr>
      </w:pPr>
      <w:r w:rsidRPr="0052630D">
        <w:rPr>
          <w:rFonts w:ascii="Arial" w:hAnsi="Arial" w:cs="Arial"/>
          <w:b/>
          <w:sz w:val="18"/>
          <w:szCs w:val="18"/>
        </w:rPr>
        <w:lastRenderedPageBreak/>
        <w:t>Table 4: Terrestrial biota guideline values</w:t>
      </w:r>
    </w:p>
    <w:p w14:paraId="05FC76C6" w14:textId="77777777" w:rsidR="005B107B" w:rsidRDefault="0052630D" w:rsidP="00BB4F46">
      <w:pPr>
        <w:pStyle w:val="BodyText"/>
        <w:spacing w:line="240" w:lineRule="atLeast"/>
        <w:rPr>
          <w:rFonts w:ascii="Arial" w:hAnsi="Arial" w:cs="Arial"/>
          <w:sz w:val="18"/>
          <w:szCs w:val="18"/>
        </w:rPr>
      </w:pPr>
      <w:r w:rsidRPr="0052630D">
        <w:rPr>
          <w:rFonts w:ascii="Arial" w:hAnsi="Arial" w:cs="Arial"/>
          <w:sz w:val="18"/>
          <w:szCs w:val="18"/>
        </w:rPr>
        <w:t>The Canadian Federal Environmental Quality Guidelines (Feb 2017) state that effects have been reported at lower concentrations than the bird egg value, and should be considered in risk assessment. The avian diet value may not be protective of migratory wading birds that have a high food intake due to the need to gain weight rapidly.</w:t>
      </w:r>
    </w:p>
    <w:tbl>
      <w:tblPr>
        <w:tblStyle w:val="TableGrid"/>
        <w:tblW w:w="0" w:type="auto"/>
        <w:tblInd w:w="11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85"/>
        <w:gridCol w:w="1272"/>
        <w:gridCol w:w="840"/>
        <w:gridCol w:w="1931"/>
        <w:gridCol w:w="2163"/>
      </w:tblGrid>
      <w:tr w:rsidR="0052630D" w:rsidRPr="000C58F6" w14:paraId="11E550F7" w14:textId="77777777" w:rsidTr="00A63424">
        <w:tc>
          <w:tcPr>
            <w:tcW w:w="2263" w:type="dxa"/>
            <w:tcBorders>
              <w:top w:val="single" w:sz="4" w:space="0" w:color="ECF1F3"/>
              <w:bottom w:val="single" w:sz="4" w:space="0" w:color="ECF1F3"/>
              <w:right w:val="single" w:sz="4" w:space="0" w:color="ECF1F3"/>
            </w:tcBorders>
            <w:shd w:val="clear" w:color="auto" w:fill="ECF1F3" w:themeFill="accent3" w:themeFillTint="66"/>
            <w:vAlign w:val="bottom"/>
          </w:tcPr>
          <w:p w14:paraId="41653CA8" w14:textId="77777777" w:rsidR="0052630D" w:rsidRPr="0052630D" w:rsidRDefault="0052630D" w:rsidP="0052630D">
            <w:pPr>
              <w:pStyle w:val="TableText"/>
              <w:rPr>
                <w:rFonts w:ascii="Arial" w:hAnsi="Arial" w:cs="Arial"/>
                <w:b/>
                <w:sz w:val="16"/>
                <w:szCs w:val="16"/>
              </w:rPr>
            </w:pPr>
            <w:r w:rsidRPr="0052630D">
              <w:rPr>
                <w:rFonts w:ascii="Arial" w:hAnsi="Arial" w:cs="Arial"/>
                <w:b/>
                <w:sz w:val="16"/>
                <w:szCs w:val="16"/>
              </w:rPr>
              <w:t>Exposure scenario</w:t>
            </w:r>
          </w:p>
        </w:tc>
        <w:tc>
          <w:tcPr>
            <w:tcW w:w="1276"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vAlign w:val="bottom"/>
          </w:tcPr>
          <w:p w14:paraId="63D4D1BF" w14:textId="77777777" w:rsidR="0052630D" w:rsidRPr="0052630D" w:rsidRDefault="0052630D" w:rsidP="0052630D">
            <w:pPr>
              <w:pStyle w:val="TableText"/>
              <w:rPr>
                <w:rFonts w:ascii="Arial" w:hAnsi="Arial" w:cs="Arial"/>
                <w:b/>
                <w:sz w:val="16"/>
                <w:szCs w:val="16"/>
              </w:rPr>
            </w:pPr>
            <w:r w:rsidRPr="0052630D">
              <w:rPr>
                <w:rFonts w:ascii="Arial" w:hAnsi="Arial" w:cs="Arial"/>
                <w:b/>
                <w:sz w:val="16"/>
                <w:szCs w:val="16"/>
              </w:rPr>
              <w:t>PFOS/PFHxS</w:t>
            </w:r>
          </w:p>
        </w:tc>
        <w:tc>
          <w:tcPr>
            <w:tcW w:w="851"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vAlign w:val="bottom"/>
          </w:tcPr>
          <w:p w14:paraId="767F689F" w14:textId="77777777" w:rsidR="0052630D" w:rsidRPr="0052630D" w:rsidRDefault="0052630D" w:rsidP="0052630D">
            <w:pPr>
              <w:pStyle w:val="TableText"/>
              <w:rPr>
                <w:rFonts w:ascii="Arial" w:hAnsi="Arial" w:cs="Arial"/>
                <w:b/>
                <w:sz w:val="16"/>
                <w:szCs w:val="16"/>
              </w:rPr>
            </w:pPr>
            <w:r w:rsidRPr="0052630D">
              <w:rPr>
                <w:rFonts w:ascii="Arial" w:hAnsi="Arial" w:cs="Arial"/>
                <w:b/>
                <w:sz w:val="16"/>
                <w:szCs w:val="16"/>
              </w:rPr>
              <w:t>PFOA</w:t>
            </w:r>
          </w:p>
        </w:tc>
        <w:tc>
          <w:tcPr>
            <w:tcW w:w="1984" w:type="dxa"/>
            <w:tcBorders>
              <w:top w:val="single" w:sz="4" w:space="0" w:color="ECF1F3"/>
              <w:left w:val="single" w:sz="4" w:space="0" w:color="ECF1F3"/>
              <w:bottom w:val="single" w:sz="4" w:space="0" w:color="ECF1F3"/>
              <w:right w:val="single" w:sz="4" w:space="0" w:color="ECF1F3"/>
            </w:tcBorders>
            <w:shd w:val="clear" w:color="auto" w:fill="ECF1F3" w:themeFill="accent3" w:themeFillTint="66"/>
            <w:vAlign w:val="bottom"/>
          </w:tcPr>
          <w:p w14:paraId="10DD8C9B" w14:textId="77777777" w:rsidR="0052630D" w:rsidRPr="0052630D" w:rsidRDefault="0052630D" w:rsidP="0052630D">
            <w:pPr>
              <w:pStyle w:val="TableText"/>
              <w:rPr>
                <w:rFonts w:ascii="Arial" w:hAnsi="Arial" w:cs="Arial"/>
                <w:b/>
                <w:sz w:val="16"/>
                <w:szCs w:val="16"/>
              </w:rPr>
            </w:pPr>
            <w:r w:rsidRPr="0052630D">
              <w:rPr>
                <w:rFonts w:ascii="Arial" w:hAnsi="Arial" w:cs="Arial"/>
                <w:b/>
                <w:sz w:val="16"/>
                <w:szCs w:val="16"/>
              </w:rPr>
              <w:t>Description</w:t>
            </w:r>
          </w:p>
        </w:tc>
        <w:tc>
          <w:tcPr>
            <w:tcW w:w="2233" w:type="dxa"/>
            <w:tcBorders>
              <w:top w:val="single" w:sz="4" w:space="0" w:color="ECF1F3"/>
              <w:left w:val="single" w:sz="4" w:space="0" w:color="ECF1F3"/>
              <w:bottom w:val="single" w:sz="4" w:space="0" w:color="ECF1F3"/>
            </w:tcBorders>
            <w:shd w:val="clear" w:color="auto" w:fill="ECF1F3" w:themeFill="accent3" w:themeFillTint="66"/>
            <w:vAlign w:val="bottom"/>
          </w:tcPr>
          <w:p w14:paraId="1E67DF11" w14:textId="77777777" w:rsidR="0052630D" w:rsidRPr="0052630D" w:rsidRDefault="0052630D" w:rsidP="0052630D">
            <w:pPr>
              <w:pStyle w:val="TableText"/>
              <w:rPr>
                <w:rFonts w:ascii="Arial" w:hAnsi="Arial" w:cs="Arial"/>
                <w:b/>
                <w:sz w:val="16"/>
                <w:szCs w:val="16"/>
              </w:rPr>
            </w:pPr>
            <w:r w:rsidRPr="0052630D">
              <w:rPr>
                <w:rFonts w:ascii="Arial" w:hAnsi="Arial" w:cs="Arial"/>
                <w:b/>
                <w:sz w:val="16"/>
                <w:szCs w:val="16"/>
              </w:rPr>
              <w:t>Comments and source</w:t>
            </w:r>
          </w:p>
        </w:tc>
      </w:tr>
      <w:tr w:rsidR="0052630D" w:rsidRPr="000C58F6" w14:paraId="3A9C980E" w14:textId="77777777" w:rsidTr="00A63424">
        <w:tc>
          <w:tcPr>
            <w:tcW w:w="2263" w:type="dxa"/>
            <w:tcBorders>
              <w:top w:val="single" w:sz="4" w:space="0" w:color="ECF1F3"/>
            </w:tcBorders>
          </w:tcPr>
          <w:p w14:paraId="255FD9A4" w14:textId="77777777" w:rsidR="0052630D" w:rsidRPr="0052630D" w:rsidRDefault="0052630D" w:rsidP="0052630D">
            <w:pPr>
              <w:pStyle w:val="TableText"/>
              <w:rPr>
                <w:rFonts w:ascii="Arial" w:eastAsia="Tahoma" w:hAnsi="Arial" w:cs="Arial"/>
                <w:color w:val="102D4E"/>
                <w:spacing w:val="-6"/>
                <w:sz w:val="16"/>
                <w:szCs w:val="16"/>
              </w:rPr>
            </w:pPr>
            <w:r w:rsidRPr="0052630D">
              <w:rPr>
                <w:rFonts w:ascii="Arial" w:eastAsia="Tahoma" w:hAnsi="Arial" w:cs="Arial"/>
                <w:spacing w:val="-6"/>
                <w:sz w:val="16"/>
                <w:szCs w:val="16"/>
                <w:lang w:val="en-US"/>
              </w:rPr>
              <w:t xml:space="preserve">Interim — ecological direct exposure </w:t>
            </w:r>
            <w:r w:rsidRPr="0052630D">
              <w:rPr>
                <w:rFonts w:ascii="Arial" w:eastAsia="Tahoma" w:hAnsi="Arial" w:cs="Arial"/>
                <w:color w:val="2F324B"/>
                <w:spacing w:val="-6"/>
                <w:sz w:val="16"/>
                <w:szCs w:val="16"/>
                <w:lang w:val="en-US"/>
              </w:rPr>
              <w:t>for</w:t>
            </w:r>
            <w:r w:rsidRPr="0052630D">
              <w:rPr>
                <w:rFonts w:ascii="Arial" w:eastAsia="Tahoma" w:hAnsi="Arial" w:cs="Arial"/>
                <w:color w:val="000000"/>
                <w:spacing w:val="-6"/>
                <w:sz w:val="16"/>
                <w:szCs w:val="16"/>
                <w:lang w:val="en-US"/>
              </w:rPr>
              <w:t xml:space="preserve"> wildlife diet</w:t>
            </w:r>
          </w:p>
        </w:tc>
        <w:tc>
          <w:tcPr>
            <w:tcW w:w="1276" w:type="dxa"/>
            <w:tcBorders>
              <w:top w:val="single" w:sz="4" w:space="0" w:color="ECF1F3"/>
            </w:tcBorders>
          </w:tcPr>
          <w:p w14:paraId="692D2E1C" w14:textId="77777777" w:rsidR="0052630D" w:rsidRPr="0052630D" w:rsidRDefault="0052630D" w:rsidP="0052630D">
            <w:pPr>
              <w:pStyle w:val="TableText"/>
              <w:rPr>
                <w:rFonts w:ascii="Arial" w:hAnsi="Arial" w:cs="Arial"/>
                <w:sz w:val="16"/>
                <w:szCs w:val="16"/>
              </w:rPr>
            </w:pPr>
            <w:r w:rsidRPr="0052630D">
              <w:rPr>
                <w:rFonts w:ascii="Arial" w:eastAsia="Times New Roman" w:hAnsi="Arial" w:cs="Arial"/>
                <w:color w:val="10171E"/>
                <w:spacing w:val="-7"/>
                <w:sz w:val="16"/>
                <w:szCs w:val="16"/>
              </w:rPr>
              <w:t>4.6 µg/kg</w:t>
            </w:r>
          </w:p>
        </w:tc>
        <w:tc>
          <w:tcPr>
            <w:tcW w:w="851" w:type="dxa"/>
            <w:tcBorders>
              <w:top w:val="single" w:sz="4" w:space="0" w:color="ECF1F3"/>
            </w:tcBorders>
          </w:tcPr>
          <w:p w14:paraId="054ED798" w14:textId="77777777" w:rsidR="0052630D" w:rsidRPr="0052630D" w:rsidRDefault="0052630D" w:rsidP="0052630D">
            <w:pPr>
              <w:pStyle w:val="TableText"/>
              <w:rPr>
                <w:rFonts w:ascii="Arial" w:hAnsi="Arial" w:cs="Arial"/>
                <w:sz w:val="16"/>
                <w:szCs w:val="16"/>
              </w:rPr>
            </w:pPr>
          </w:p>
        </w:tc>
        <w:tc>
          <w:tcPr>
            <w:tcW w:w="1984" w:type="dxa"/>
            <w:tcBorders>
              <w:top w:val="single" w:sz="4" w:space="0" w:color="ECF1F3"/>
            </w:tcBorders>
          </w:tcPr>
          <w:p w14:paraId="3CB19984" w14:textId="77777777" w:rsidR="0052630D" w:rsidRPr="0052630D" w:rsidRDefault="0052630D" w:rsidP="0052630D">
            <w:pPr>
              <w:pStyle w:val="TableText"/>
              <w:rPr>
                <w:rFonts w:ascii="Arial" w:hAnsi="Arial" w:cs="Arial"/>
                <w:sz w:val="16"/>
                <w:szCs w:val="16"/>
              </w:rPr>
            </w:pPr>
            <w:r w:rsidRPr="0052630D">
              <w:rPr>
                <w:rFonts w:ascii="Arial" w:eastAsia="Tahoma" w:hAnsi="Arial" w:cs="Arial"/>
                <w:color w:val="2F324B"/>
                <w:sz w:val="16"/>
                <w:szCs w:val="16"/>
                <w:lang w:val="en-US"/>
              </w:rPr>
              <w:t>Mammalian</w:t>
            </w:r>
            <w:r w:rsidRPr="0052630D">
              <w:rPr>
                <w:rFonts w:ascii="Arial" w:eastAsia="Tahoma" w:hAnsi="Arial" w:cs="Arial"/>
                <w:color w:val="000000"/>
                <w:sz w:val="16"/>
                <w:szCs w:val="16"/>
                <w:lang w:val="en-US"/>
              </w:rPr>
              <w:t xml:space="preserve"> diet biota</w:t>
            </w:r>
            <w:r w:rsidRPr="0052630D">
              <w:rPr>
                <w:rFonts w:ascii="Arial" w:eastAsia="Tahoma" w:hAnsi="Arial" w:cs="Arial"/>
                <w:color w:val="2F324B"/>
                <w:sz w:val="16"/>
                <w:szCs w:val="16"/>
                <w:lang w:val="en-US"/>
              </w:rPr>
              <w:t xml:space="preserve"> ww</w:t>
            </w:r>
            <w:r w:rsidRPr="0052630D">
              <w:rPr>
                <w:rFonts w:ascii="Arial" w:eastAsia="Tahoma" w:hAnsi="Arial" w:cs="Arial"/>
                <w:color w:val="000000"/>
                <w:sz w:val="16"/>
                <w:szCs w:val="16"/>
                <w:lang w:val="en-US"/>
              </w:rPr>
              <w:t xml:space="preserve"> food</w:t>
            </w:r>
          </w:p>
        </w:tc>
        <w:tc>
          <w:tcPr>
            <w:tcW w:w="2233" w:type="dxa"/>
            <w:vMerge w:val="restart"/>
            <w:tcBorders>
              <w:top w:val="single" w:sz="4" w:space="0" w:color="ECF1F3"/>
            </w:tcBorders>
            <w:vAlign w:val="center"/>
          </w:tcPr>
          <w:p w14:paraId="045B38BF" w14:textId="77777777" w:rsidR="0052630D" w:rsidRPr="0052630D" w:rsidRDefault="0052630D" w:rsidP="0052630D">
            <w:pPr>
              <w:pStyle w:val="TableText"/>
              <w:rPr>
                <w:rFonts w:ascii="Arial" w:hAnsi="Arial" w:cs="Arial"/>
                <w:sz w:val="16"/>
                <w:szCs w:val="16"/>
              </w:rPr>
            </w:pPr>
            <w:r w:rsidRPr="0052630D">
              <w:rPr>
                <w:rFonts w:ascii="Arial" w:eastAsia="Tahoma" w:hAnsi="Arial" w:cs="Arial"/>
                <w:color w:val="000000"/>
                <w:spacing w:val="-5"/>
                <w:sz w:val="16"/>
                <w:szCs w:val="16"/>
                <w:lang w:val="en-US"/>
              </w:rPr>
              <w:t>Canadian Federal Environment Quality Guidelines (Feb 2017)</w:t>
            </w:r>
          </w:p>
        </w:tc>
      </w:tr>
      <w:tr w:rsidR="0052630D" w:rsidRPr="000C58F6" w14:paraId="636BE10F" w14:textId="77777777" w:rsidTr="00A63424">
        <w:tc>
          <w:tcPr>
            <w:tcW w:w="2263" w:type="dxa"/>
          </w:tcPr>
          <w:p w14:paraId="2482326B" w14:textId="77777777" w:rsidR="0052630D" w:rsidRPr="0052630D" w:rsidRDefault="0052630D" w:rsidP="0052630D">
            <w:pPr>
              <w:pStyle w:val="TableText"/>
              <w:rPr>
                <w:rFonts w:ascii="Arial" w:hAnsi="Arial" w:cs="Arial"/>
                <w:sz w:val="16"/>
                <w:szCs w:val="16"/>
              </w:rPr>
            </w:pPr>
          </w:p>
        </w:tc>
        <w:tc>
          <w:tcPr>
            <w:tcW w:w="1276" w:type="dxa"/>
          </w:tcPr>
          <w:p w14:paraId="31D50AD7" w14:textId="77777777" w:rsidR="0052630D" w:rsidRPr="0052630D" w:rsidRDefault="0052630D" w:rsidP="0052630D">
            <w:pPr>
              <w:pStyle w:val="TableText"/>
              <w:rPr>
                <w:rFonts w:ascii="Arial" w:hAnsi="Arial" w:cs="Arial"/>
                <w:sz w:val="16"/>
                <w:szCs w:val="16"/>
              </w:rPr>
            </w:pPr>
            <w:r w:rsidRPr="0052630D">
              <w:rPr>
                <w:rFonts w:ascii="Arial" w:eastAsia="Times New Roman" w:hAnsi="Arial" w:cs="Arial"/>
                <w:color w:val="10171E"/>
                <w:spacing w:val="-7"/>
                <w:sz w:val="16"/>
                <w:szCs w:val="16"/>
              </w:rPr>
              <w:t>8.2 µg/kg</w:t>
            </w:r>
          </w:p>
        </w:tc>
        <w:tc>
          <w:tcPr>
            <w:tcW w:w="851" w:type="dxa"/>
          </w:tcPr>
          <w:p w14:paraId="550D9705" w14:textId="77777777" w:rsidR="0052630D" w:rsidRPr="0052630D" w:rsidRDefault="0052630D" w:rsidP="0052630D">
            <w:pPr>
              <w:pStyle w:val="TableText"/>
              <w:rPr>
                <w:rFonts w:ascii="Arial" w:hAnsi="Arial" w:cs="Arial"/>
                <w:sz w:val="16"/>
                <w:szCs w:val="16"/>
              </w:rPr>
            </w:pPr>
          </w:p>
        </w:tc>
        <w:tc>
          <w:tcPr>
            <w:tcW w:w="1984" w:type="dxa"/>
          </w:tcPr>
          <w:p w14:paraId="05678E82" w14:textId="77777777" w:rsidR="0052630D" w:rsidRPr="0052630D" w:rsidRDefault="0052630D" w:rsidP="0052630D">
            <w:pPr>
              <w:pStyle w:val="TableText"/>
              <w:rPr>
                <w:rFonts w:ascii="Arial" w:hAnsi="Arial" w:cs="Arial"/>
                <w:sz w:val="16"/>
                <w:szCs w:val="16"/>
              </w:rPr>
            </w:pPr>
            <w:r w:rsidRPr="0052630D">
              <w:rPr>
                <w:rFonts w:ascii="Arial" w:eastAsia="Tahoma" w:hAnsi="Arial" w:cs="Arial"/>
                <w:color w:val="2F324B"/>
                <w:sz w:val="16"/>
                <w:szCs w:val="16"/>
                <w:lang w:val="en-US"/>
              </w:rPr>
              <w:t>Avian</w:t>
            </w:r>
            <w:r w:rsidRPr="0052630D">
              <w:rPr>
                <w:rFonts w:ascii="Arial" w:eastAsia="Tahoma" w:hAnsi="Arial" w:cs="Arial"/>
                <w:color w:val="000000"/>
                <w:sz w:val="16"/>
                <w:szCs w:val="16"/>
                <w:lang w:val="en-US"/>
              </w:rPr>
              <w:t xml:space="preserve"> diet</w:t>
            </w:r>
            <w:r w:rsidRPr="0052630D">
              <w:rPr>
                <w:rFonts w:ascii="Arial" w:eastAsia="Tahoma" w:hAnsi="Arial" w:cs="Arial"/>
                <w:color w:val="2F324B"/>
                <w:sz w:val="16"/>
                <w:szCs w:val="16"/>
                <w:lang w:val="en-US"/>
              </w:rPr>
              <w:t xml:space="preserve"> biota</w:t>
            </w:r>
            <w:r w:rsidRPr="0052630D">
              <w:rPr>
                <w:rFonts w:ascii="Arial" w:eastAsia="Tahoma" w:hAnsi="Arial" w:cs="Arial"/>
                <w:color w:val="000000"/>
                <w:sz w:val="16"/>
                <w:szCs w:val="16"/>
                <w:lang w:val="en-US"/>
              </w:rPr>
              <w:t xml:space="preserve"> ww food</w:t>
            </w:r>
          </w:p>
        </w:tc>
        <w:tc>
          <w:tcPr>
            <w:tcW w:w="2233" w:type="dxa"/>
            <w:vMerge/>
            <w:vAlign w:val="center"/>
          </w:tcPr>
          <w:p w14:paraId="70D2D615" w14:textId="77777777" w:rsidR="0052630D" w:rsidRPr="0052630D" w:rsidRDefault="0052630D" w:rsidP="0052630D">
            <w:pPr>
              <w:pStyle w:val="TableText"/>
              <w:rPr>
                <w:rFonts w:ascii="Arial" w:hAnsi="Arial" w:cs="Arial"/>
                <w:sz w:val="16"/>
                <w:szCs w:val="16"/>
              </w:rPr>
            </w:pPr>
          </w:p>
        </w:tc>
      </w:tr>
      <w:tr w:rsidR="0052630D" w:rsidRPr="000C58F6" w14:paraId="6AEF1824" w14:textId="77777777" w:rsidTr="00A63424">
        <w:tc>
          <w:tcPr>
            <w:tcW w:w="2263" w:type="dxa"/>
          </w:tcPr>
          <w:p w14:paraId="3CA5D8FC" w14:textId="77777777" w:rsidR="0052630D" w:rsidRPr="0052630D" w:rsidRDefault="0052630D" w:rsidP="0052630D">
            <w:pPr>
              <w:pStyle w:val="TableText"/>
              <w:rPr>
                <w:rFonts w:ascii="Arial" w:eastAsia="Tahoma" w:hAnsi="Arial" w:cs="Arial"/>
                <w:color w:val="2F324B"/>
                <w:spacing w:val="-3"/>
                <w:sz w:val="16"/>
                <w:szCs w:val="16"/>
              </w:rPr>
            </w:pPr>
            <w:r w:rsidRPr="0052630D">
              <w:rPr>
                <w:rFonts w:ascii="Arial" w:eastAsia="Tahoma" w:hAnsi="Arial" w:cs="Arial"/>
                <w:color w:val="2F324B"/>
                <w:spacing w:val="-3"/>
                <w:sz w:val="16"/>
                <w:szCs w:val="16"/>
                <w:lang w:val="en-US"/>
              </w:rPr>
              <w:t>Interim</w:t>
            </w:r>
            <w:r w:rsidRPr="0052630D">
              <w:rPr>
                <w:rFonts w:ascii="Arial" w:eastAsia="Tahoma" w:hAnsi="Arial" w:cs="Arial"/>
                <w:color w:val="000000"/>
                <w:spacing w:val="-3"/>
                <w:sz w:val="16"/>
                <w:szCs w:val="16"/>
                <w:lang w:val="en-US"/>
              </w:rPr>
              <w:t xml:space="preserve"> — ecological exposure protective of birds</w:t>
            </w:r>
          </w:p>
        </w:tc>
        <w:tc>
          <w:tcPr>
            <w:tcW w:w="1276" w:type="dxa"/>
          </w:tcPr>
          <w:p w14:paraId="418221E6" w14:textId="77777777" w:rsidR="0052630D" w:rsidRPr="0052630D" w:rsidRDefault="0052630D" w:rsidP="0052630D">
            <w:pPr>
              <w:pStyle w:val="TableText"/>
              <w:rPr>
                <w:rFonts w:ascii="Arial" w:hAnsi="Arial" w:cs="Arial"/>
                <w:sz w:val="16"/>
                <w:szCs w:val="16"/>
              </w:rPr>
            </w:pPr>
            <w:r w:rsidRPr="0052630D">
              <w:rPr>
                <w:rFonts w:ascii="Arial" w:eastAsia="Times New Roman" w:hAnsi="Arial" w:cs="Arial"/>
                <w:color w:val="10171E"/>
                <w:spacing w:val="-7"/>
                <w:sz w:val="16"/>
                <w:szCs w:val="16"/>
              </w:rPr>
              <w:t>1.9 µg/kg</w:t>
            </w:r>
          </w:p>
        </w:tc>
        <w:tc>
          <w:tcPr>
            <w:tcW w:w="851" w:type="dxa"/>
          </w:tcPr>
          <w:p w14:paraId="385B530A" w14:textId="77777777" w:rsidR="0052630D" w:rsidRPr="0052630D" w:rsidRDefault="0052630D" w:rsidP="0052630D">
            <w:pPr>
              <w:pStyle w:val="TableText"/>
              <w:rPr>
                <w:rFonts w:ascii="Arial" w:hAnsi="Arial" w:cs="Arial"/>
                <w:sz w:val="16"/>
                <w:szCs w:val="16"/>
              </w:rPr>
            </w:pPr>
          </w:p>
        </w:tc>
        <w:tc>
          <w:tcPr>
            <w:tcW w:w="1984" w:type="dxa"/>
          </w:tcPr>
          <w:p w14:paraId="228D8259" w14:textId="77777777" w:rsidR="0052630D" w:rsidRPr="0052630D" w:rsidRDefault="0052630D" w:rsidP="0052630D">
            <w:pPr>
              <w:pStyle w:val="TableText"/>
              <w:rPr>
                <w:rFonts w:ascii="Arial" w:hAnsi="Arial" w:cs="Arial"/>
                <w:sz w:val="16"/>
                <w:szCs w:val="16"/>
              </w:rPr>
            </w:pPr>
            <w:r w:rsidRPr="0052630D">
              <w:rPr>
                <w:rFonts w:ascii="Arial" w:eastAsia="Tahoma" w:hAnsi="Arial" w:cs="Arial"/>
                <w:color w:val="2F324B"/>
                <w:sz w:val="16"/>
                <w:szCs w:val="16"/>
                <w:lang w:val="en-US"/>
              </w:rPr>
              <w:t>Bird</w:t>
            </w:r>
            <w:r w:rsidRPr="0052630D">
              <w:rPr>
                <w:rFonts w:ascii="Arial" w:eastAsia="Tahoma" w:hAnsi="Arial" w:cs="Arial"/>
                <w:color w:val="000000"/>
                <w:sz w:val="16"/>
                <w:szCs w:val="16"/>
                <w:lang w:val="en-US"/>
              </w:rPr>
              <w:t xml:space="preserve"> egg </w:t>
            </w:r>
            <w:r w:rsidRPr="0052630D">
              <w:rPr>
                <w:rFonts w:ascii="Arial" w:eastAsia="Tahoma" w:hAnsi="Arial" w:cs="Arial"/>
                <w:i/>
                <w:color w:val="000000"/>
                <w:sz w:val="16"/>
                <w:szCs w:val="16"/>
                <w:lang w:val="en-US"/>
              </w:rPr>
              <w:t>ww</w:t>
            </w:r>
          </w:p>
        </w:tc>
        <w:tc>
          <w:tcPr>
            <w:tcW w:w="2233" w:type="dxa"/>
            <w:vMerge/>
            <w:vAlign w:val="center"/>
          </w:tcPr>
          <w:p w14:paraId="29CE5066" w14:textId="77777777" w:rsidR="0052630D" w:rsidRPr="0052630D" w:rsidRDefault="0052630D" w:rsidP="0052630D">
            <w:pPr>
              <w:pStyle w:val="TableText"/>
              <w:rPr>
                <w:rFonts w:ascii="Arial" w:hAnsi="Arial" w:cs="Arial"/>
                <w:sz w:val="16"/>
                <w:szCs w:val="16"/>
              </w:rPr>
            </w:pPr>
          </w:p>
        </w:tc>
      </w:tr>
    </w:tbl>
    <w:p w14:paraId="717E1B08" w14:textId="77777777" w:rsidR="0052630D" w:rsidRDefault="0052630D" w:rsidP="000C58F6">
      <w:pPr>
        <w:pStyle w:val="BodyText"/>
        <w:spacing w:before="0" w:after="0"/>
        <w:rPr>
          <w:rFonts w:ascii="Arial" w:hAnsi="Arial" w:cs="Arial"/>
          <w:sz w:val="18"/>
          <w:szCs w:val="18"/>
        </w:rPr>
      </w:pPr>
    </w:p>
    <w:p w14:paraId="0DDFE8C9" w14:textId="77777777" w:rsidR="009869ED" w:rsidRPr="009869ED" w:rsidRDefault="009869ED" w:rsidP="00BB4F46">
      <w:pPr>
        <w:pStyle w:val="BodyText"/>
        <w:spacing w:before="0" w:after="0" w:line="240" w:lineRule="atLeast"/>
        <w:rPr>
          <w:rFonts w:ascii="Arial" w:eastAsia="Tahoma" w:hAnsi="Arial" w:cs="Arial"/>
          <w:b/>
          <w:sz w:val="18"/>
          <w:szCs w:val="18"/>
        </w:rPr>
      </w:pPr>
      <w:r w:rsidRPr="009869ED">
        <w:rPr>
          <w:rFonts w:ascii="Arial" w:eastAsia="Tahoma" w:hAnsi="Arial" w:cs="Arial"/>
          <w:b/>
          <w:sz w:val="18"/>
          <w:szCs w:val="18"/>
          <w:lang w:val="en-US"/>
        </w:rPr>
        <w:t>Table 5: Aquatic ecosystems: freshwater and marine water guideline</w:t>
      </w:r>
      <w:r w:rsidRPr="009869ED">
        <w:rPr>
          <w:rFonts w:ascii="Arial" w:eastAsia="Tahoma" w:hAnsi="Arial" w:cs="Arial"/>
          <w:b/>
          <w:color w:val="2F324B"/>
          <w:sz w:val="18"/>
          <w:szCs w:val="18"/>
          <w:lang w:val="en-US"/>
        </w:rPr>
        <w:t xml:space="preserve"> values</w:t>
      </w:r>
    </w:p>
    <w:p w14:paraId="61F229A1" w14:textId="77777777" w:rsidR="009869ED" w:rsidRPr="009869ED" w:rsidRDefault="009869ED" w:rsidP="00BB4F46">
      <w:pPr>
        <w:pStyle w:val="BodyText"/>
        <w:spacing w:after="240" w:line="240" w:lineRule="atLeast"/>
        <w:rPr>
          <w:rFonts w:ascii="Arial" w:hAnsi="Arial" w:cs="Arial"/>
          <w:sz w:val="18"/>
          <w:szCs w:val="18"/>
        </w:rPr>
      </w:pPr>
      <w:r w:rsidRPr="009869ED">
        <w:rPr>
          <w:rFonts w:ascii="Arial" w:hAnsi="Arial" w:cs="Arial"/>
          <w:sz w:val="18"/>
          <w:szCs w:val="18"/>
        </w:rPr>
        <w:t>The 99th percentile species protection level may be below the ambient background concentration. Actions to incorporate background concentrations for organic chemicals with widespread (eg. global) contamination are discussed in Volume 2, section 8.3.5.5 of ANZECC and ARMCANZ (2000). The 80th percentile of background established for reference sites with low levels of human impact may be used as a default guideline values where the trigger value is less than the reliable background figure.</w:t>
      </w:r>
    </w:p>
    <w:tbl>
      <w:tblPr>
        <w:tblStyle w:val="TableGrid"/>
        <w:tblW w:w="0" w:type="auto"/>
        <w:tblInd w:w="113"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57"/>
        <w:gridCol w:w="1111"/>
        <w:gridCol w:w="973"/>
        <w:gridCol w:w="1933"/>
        <w:gridCol w:w="3117"/>
      </w:tblGrid>
      <w:tr w:rsidR="000C58F6" w:rsidRPr="000C58F6" w14:paraId="08596DDA" w14:textId="77777777" w:rsidTr="00A63424">
        <w:tc>
          <w:tcPr>
            <w:tcW w:w="1271" w:type="dxa"/>
            <w:tcBorders>
              <w:top w:val="nil"/>
              <w:bottom w:val="single" w:sz="4" w:space="0" w:color="ECF1F3"/>
              <w:right w:val="single" w:sz="4" w:space="0" w:color="ECF1F3"/>
            </w:tcBorders>
            <w:shd w:val="clear" w:color="auto" w:fill="ECF1F3"/>
          </w:tcPr>
          <w:p w14:paraId="2233F1B0" w14:textId="77777777" w:rsidR="000C58F6" w:rsidRPr="000C58F6" w:rsidRDefault="000C58F6" w:rsidP="000C58F6">
            <w:pPr>
              <w:pStyle w:val="TableText"/>
              <w:rPr>
                <w:rFonts w:ascii="Arial" w:hAnsi="Arial" w:cs="Arial"/>
                <w:b/>
                <w:sz w:val="16"/>
                <w:szCs w:val="16"/>
              </w:rPr>
            </w:pPr>
            <w:r w:rsidRPr="000C58F6">
              <w:rPr>
                <w:rFonts w:ascii="Arial" w:hAnsi="Arial" w:cs="Arial"/>
                <w:b/>
                <w:sz w:val="16"/>
                <w:szCs w:val="16"/>
              </w:rPr>
              <w:t>Exposure scenario</w:t>
            </w:r>
          </w:p>
        </w:tc>
        <w:tc>
          <w:tcPr>
            <w:tcW w:w="1134" w:type="dxa"/>
            <w:tcBorders>
              <w:top w:val="nil"/>
              <w:left w:val="single" w:sz="4" w:space="0" w:color="ECF1F3"/>
              <w:bottom w:val="single" w:sz="4" w:space="0" w:color="ECF1F3"/>
              <w:right w:val="single" w:sz="4" w:space="0" w:color="ECF1F3"/>
            </w:tcBorders>
            <w:shd w:val="clear" w:color="auto" w:fill="ECF1F3"/>
          </w:tcPr>
          <w:p w14:paraId="3DCBAB81" w14:textId="77777777" w:rsidR="000C58F6" w:rsidRPr="000C58F6" w:rsidRDefault="000C58F6" w:rsidP="000C58F6">
            <w:pPr>
              <w:pStyle w:val="TableText"/>
              <w:rPr>
                <w:rFonts w:ascii="Arial" w:hAnsi="Arial" w:cs="Arial"/>
                <w:b/>
                <w:sz w:val="16"/>
                <w:szCs w:val="16"/>
              </w:rPr>
            </w:pPr>
            <w:r w:rsidRPr="000C58F6">
              <w:rPr>
                <w:rFonts w:ascii="Arial" w:hAnsi="Arial" w:cs="Arial"/>
                <w:b/>
                <w:sz w:val="16"/>
                <w:szCs w:val="16"/>
              </w:rPr>
              <w:t>PFOS</w:t>
            </w:r>
          </w:p>
        </w:tc>
        <w:tc>
          <w:tcPr>
            <w:tcW w:w="992" w:type="dxa"/>
            <w:tcBorders>
              <w:top w:val="nil"/>
              <w:left w:val="single" w:sz="4" w:space="0" w:color="ECF1F3"/>
              <w:bottom w:val="single" w:sz="4" w:space="0" w:color="ECF1F3"/>
              <w:right w:val="single" w:sz="4" w:space="0" w:color="ECF1F3"/>
            </w:tcBorders>
            <w:shd w:val="clear" w:color="auto" w:fill="ECF1F3"/>
          </w:tcPr>
          <w:p w14:paraId="497F410A" w14:textId="77777777" w:rsidR="000C58F6" w:rsidRPr="000C58F6" w:rsidRDefault="000C58F6" w:rsidP="000C58F6">
            <w:pPr>
              <w:pStyle w:val="TableText"/>
              <w:rPr>
                <w:rFonts w:ascii="Arial" w:hAnsi="Arial" w:cs="Arial"/>
                <w:b/>
                <w:sz w:val="16"/>
                <w:szCs w:val="16"/>
              </w:rPr>
            </w:pPr>
            <w:r w:rsidRPr="000C58F6">
              <w:rPr>
                <w:rFonts w:ascii="Arial" w:hAnsi="Arial" w:cs="Arial"/>
                <w:b/>
                <w:sz w:val="16"/>
                <w:szCs w:val="16"/>
              </w:rPr>
              <w:t>PFOA</w:t>
            </w:r>
          </w:p>
        </w:tc>
        <w:tc>
          <w:tcPr>
            <w:tcW w:w="1985" w:type="dxa"/>
            <w:tcBorders>
              <w:top w:val="nil"/>
              <w:left w:val="single" w:sz="4" w:space="0" w:color="ECF1F3"/>
              <w:bottom w:val="single" w:sz="4" w:space="0" w:color="ECF1F3"/>
              <w:right w:val="single" w:sz="4" w:space="0" w:color="ECF1F3"/>
            </w:tcBorders>
            <w:shd w:val="clear" w:color="auto" w:fill="ECF1F3"/>
          </w:tcPr>
          <w:p w14:paraId="31EEF9EB" w14:textId="77777777" w:rsidR="000C58F6" w:rsidRPr="000C58F6" w:rsidRDefault="000C58F6" w:rsidP="000C58F6">
            <w:pPr>
              <w:pStyle w:val="TableText"/>
              <w:rPr>
                <w:rFonts w:ascii="Arial" w:hAnsi="Arial" w:cs="Arial"/>
                <w:b/>
                <w:sz w:val="16"/>
                <w:szCs w:val="16"/>
              </w:rPr>
            </w:pPr>
            <w:r w:rsidRPr="000C58F6">
              <w:rPr>
                <w:rFonts w:ascii="Arial" w:hAnsi="Arial" w:cs="Arial"/>
                <w:b/>
                <w:sz w:val="16"/>
                <w:szCs w:val="16"/>
              </w:rPr>
              <w:t>Exposure scenario</w:t>
            </w:r>
          </w:p>
        </w:tc>
        <w:tc>
          <w:tcPr>
            <w:tcW w:w="3225" w:type="dxa"/>
            <w:tcBorders>
              <w:top w:val="nil"/>
              <w:left w:val="single" w:sz="4" w:space="0" w:color="ECF1F3"/>
              <w:bottom w:val="single" w:sz="4" w:space="0" w:color="ECF1F3"/>
            </w:tcBorders>
            <w:shd w:val="clear" w:color="auto" w:fill="ECF1F3"/>
          </w:tcPr>
          <w:p w14:paraId="37F68BAE" w14:textId="77777777" w:rsidR="000C58F6" w:rsidRPr="000C58F6" w:rsidRDefault="000C58F6" w:rsidP="000C58F6">
            <w:pPr>
              <w:pStyle w:val="TableText"/>
              <w:rPr>
                <w:rFonts w:ascii="Arial" w:hAnsi="Arial" w:cs="Arial"/>
                <w:b/>
                <w:sz w:val="16"/>
                <w:szCs w:val="16"/>
              </w:rPr>
            </w:pPr>
            <w:r w:rsidRPr="000C58F6">
              <w:rPr>
                <w:rFonts w:ascii="Arial" w:hAnsi="Arial" w:cs="Arial"/>
                <w:b/>
                <w:sz w:val="16"/>
                <w:szCs w:val="16"/>
              </w:rPr>
              <w:t>Comments and source</w:t>
            </w:r>
          </w:p>
        </w:tc>
      </w:tr>
      <w:tr w:rsidR="00A63424" w:rsidRPr="000C58F6" w14:paraId="4A694B51" w14:textId="77777777" w:rsidTr="00A63424">
        <w:tc>
          <w:tcPr>
            <w:tcW w:w="1271" w:type="dxa"/>
            <w:tcBorders>
              <w:top w:val="single" w:sz="4" w:space="0" w:color="ECF1F3"/>
            </w:tcBorders>
          </w:tcPr>
          <w:p w14:paraId="69D7FD4A" w14:textId="77777777" w:rsidR="000C58F6" w:rsidRPr="000C58F6" w:rsidRDefault="000C58F6" w:rsidP="000C58F6">
            <w:pPr>
              <w:pStyle w:val="TableText"/>
              <w:rPr>
                <w:rFonts w:ascii="Arial" w:hAnsi="Arial" w:cs="Arial"/>
                <w:sz w:val="16"/>
                <w:szCs w:val="16"/>
              </w:rPr>
            </w:pPr>
            <w:r w:rsidRPr="000C58F6">
              <w:rPr>
                <w:rFonts w:ascii="Arial" w:hAnsi="Arial" w:cs="Arial"/>
                <w:sz w:val="16"/>
                <w:szCs w:val="16"/>
              </w:rPr>
              <w:t>Freshwater</w:t>
            </w:r>
          </w:p>
        </w:tc>
        <w:tc>
          <w:tcPr>
            <w:tcW w:w="1134" w:type="dxa"/>
            <w:tcBorders>
              <w:top w:val="single" w:sz="4" w:space="0" w:color="ECF1F3"/>
            </w:tcBorders>
          </w:tcPr>
          <w:p w14:paraId="1E1CE976"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0.00023 µg/L</w:t>
            </w:r>
          </w:p>
        </w:tc>
        <w:tc>
          <w:tcPr>
            <w:tcW w:w="992" w:type="dxa"/>
            <w:tcBorders>
              <w:top w:val="single" w:sz="4" w:space="0" w:color="ECF1F3"/>
            </w:tcBorders>
          </w:tcPr>
          <w:p w14:paraId="563504B8"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19 µg/L</w:t>
            </w:r>
          </w:p>
        </w:tc>
        <w:tc>
          <w:tcPr>
            <w:tcW w:w="1985" w:type="dxa"/>
            <w:tcBorders>
              <w:top w:val="single" w:sz="4" w:space="0" w:color="ECF1F3"/>
            </w:tcBorders>
          </w:tcPr>
          <w:p w14:paraId="4B02F12B" w14:textId="77777777" w:rsidR="000C58F6" w:rsidRPr="000C58F6" w:rsidRDefault="000C58F6" w:rsidP="000C58F6">
            <w:pPr>
              <w:pStyle w:val="TableText"/>
              <w:rPr>
                <w:rFonts w:ascii="Arial" w:hAnsi="Arial" w:cs="Arial"/>
                <w:sz w:val="16"/>
                <w:szCs w:val="16"/>
              </w:rPr>
            </w:pPr>
            <w:r w:rsidRPr="000C58F6">
              <w:rPr>
                <w:rFonts w:ascii="Arial" w:eastAsia="Tahoma" w:hAnsi="Arial" w:cs="Arial"/>
                <w:color w:val="2F324B"/>
                <w:spacing w:val="-2"/>
                <w:sz w:val="16"/>
                <w:szCs w:val="16"/>
                <w:lang w:val="en-US"/>
              </w:rPr>
              <w:t>99%</w:t>
            </w:r>
            <w:r w:rsidRPr="000C58F6">
              <w:rPr>
                <w:rFonts w:ascii="Arial" w:eastAsia="Tahoma" w:hAnsi="Arial" w:cs="Arial"/>
                <w:color w:val="000000"/>
                <w:spacing w:val="-2"/>
                <w:sz w:val="16"/>
                <w:szCs w:val="16"/>
                <w:lang w:val="en-US"/>
              </w:rPr>
              <w:t xml:space="preserve"> species protection —</w:t>
            </w:r>
            <w:r w:rsidRPr="000C58F6">
              <w:rPr>
                <w:rFonts w:ascii="Arial" w:eastAsia="Tahoma" w:hAnsi="Arial" w:cs="Arial"/>
                <w:color w:val="2F324B"/>
                <w:spacing w:val="-2"/>
                <w:sz w:val="16"/>
                <w:szCs w:val="16"/>
                <w:lang w:val="en-US"/>
              </w:rPr>
              <w:t xml:space="preserve"> high</w:t>
            </w:r>
            <w:r w:rsidRPr="000C58F6">
              <w:rPr>
                <w:rFonts w:ascii="Arial" w:eastAsia="Tahoma" w:hAnsi="Arial" w:cs="Arial"/>
                <w:color w:val="000000"/>
                <w:spacing w:val="-2"/>
                <w:sz w:val="16"/>
                <w:szCs w:val="16"/>
                <w:lang w:val="en-US"/>
              </w:rPr>
              <w:t xml:space="preserve"> conservation </w:t>
            </w:r>
            <w:r w:rsidRPr="000C58F6">
              <w:rPr>
                <w:rFonts w:ascii="Arial" w:eastAsia="Tahoma" w:hAnsi="Arial" w:cs="Arial"/>
                <w:color w:val="2F324B"/>
                <w:spacing w:val="-2"/>
                <w:sz w:val="16"/>
                <w:szCs w:val="16"/>
                <w:lang w:val="en-US"/>
              </w:rPr>
              <w:t>value</w:t>
            </w:r>
            <w:r w:rsidRPr="000C58F6">
              <w:rPr>
                <w:rFonts w:ascii="Arial" w:eastAsia="Tahoma" w:hAnsi="Arial" w:cs="Arial"/>
                <w:color w:val="000000"/>
                <w:spacing w:val="-2"/>
                <w:sz w:val="16"/>
                <w:szCs w:val="16"/>
                <w:lang w:val="en-US"/>
              </w:rPr>
              <w:t xml:space="preserve"> systems</w:t>
            </w:r>
          </w:p>
        </w:tc>
        <w:tc>
          <w:tcPr>
            <w:tcW w:w="3225" w:type="dxa"/>
            <w:vMerge w:val="restart"/>
            <w:tcBorders>
              <w:top w:val="single" w:sz="4" w:space="0" w:color="ECF1F3"/>
            </w:tcBorders>
          </w:tcPr>
          <w:p w14:paraId="4AEACECB" w14:textId="77777777" w:rsidR="000C58F6" w:rsidRPr="000C58F6" w:rsidRDefault="000C58F6" w:rsidP="00A63424">
            <w:pPr>
              <w:pStyle w:val="TableText"/>
              <w:spacing w:after="0"/>
              <w:rPr>
                <w:rFonts w:ascii="Arial" w:eastAsia="Tahoma" w:hAnsi="Arial" w:cs="Arial"/>
                <w:color w:val="000000"/>
                <w:sz w:val="16"/>
                <w:szCs w:val="16"/>
              </w:rPr>
            </w:pPr>
            <w:r w:rsidRPr="000C58F6">
              <w:rPr>
                <w:rFonts w:ascii="Arial" w:eastAsia="Tahoma" w:hAnsi="Arial" w:cs="Arial"/>
                <w:color w:val="000000"/>
                <w:sz w:val="16"/>
                <w:szCs w:val="16"/>
                <w:lang w:val="en-US"/>
              </w:rPr>
              <w:t>Australian and New Zealand Guidelines for Fresh and Marine Water Quality —</w:t>
            </w:r>
            <w:r w:rsidR="00A63424">
              <w:rPr>
                <w:rFonts w:ascii="Arial" w:eastAsia="Tahoma" w:hAnsi="Arial" w:cs="Arial"/>
                <w:color w:val="000000"/>
                <w:sz w:val="16"/>
                <w:szCs w:val="16"/>
                <w:lang w:val="en-US"/>
              </w:rPr>
              <w:t xml:space="preserve"> </w:t>
            </w:r>
          </w:p>
          <w:p w14:paraId="2D0C2939" w14:textId="77777777" w:rsidR="000C58F6" w:rsidRPr="000C58F6" w:rsidRDefault="000C58F6" w:rsidP="00A63424">
            <w:pPr>
              <w:pStyle w:val="TableText"/>
              <w:spacing w:before="0"/>
              <w:rPr>
                <w:rFonts w:ascii="Arial" w:eastAsia="Tahoma" w:hAnsi="Arial" w:cs="Arial"/>
                <w:color w:val="2F324B"/>
                <w:spacing w:val="-3"/>
                <w:sz w:val="16"/>
                <w:szCs w:val="16"/>
              </w:rPr>
            </w:pPr>
            <w:r w:rsidRPr="000C58F6">
              <w:rPr>
                <w:rFonts w:ascii="Arial" w:eastAsia="Tahoma" w:hAnsi="Arial" w:cs="Arial"/>
                <w:color w:val="2F324B"/>
                <w:spacing w:val="-3"/>
                <w:sz w:val="16"/>
                <w:szCs w:val="16"/>
                <w:lang w:val="en-US"/>
              </w:rPr>
              <w:t>technical</w:t>
            </w:r>
            <w:r w:rsidRPr="000C58F6">
              <w:rPr>
                <w:rFonts w:ascii="Arial" w:eastAsia="Tahoma" w:hAnsi="Arial" w:cs="Arial"/>
                <w:color w:val="000000"/>
                <w:spacing w:val="-3"/>
                <w:sz w:val="16"/>
                <w:szCs w:val="16"/>
                <w:lang w:val="en-US"/>
              </w:rPr>
              <w:t xml:space="preserve"> draft default guideline values.</w:t>
            </w:r>
          </w:p>
          <w:p w14:paraId="469643A0" w14:textId="77777777" w:rsidR="000C58F6" w:rsidRPr="000C58F6" w:rsidRDefault="000C58F6" w:rsidP="000C58F6">
            <w:pPr>
              <w:pStyle w:val="TableText"/>
              <w:rPr>
                <w:rFonts w:ascii="Arial" w:eastAsia="Tahoma" w:hAnsi="Arial" w:cs="Arial"/>
                <w:color w:val="000000"/>
                <w:sz w:val="16"/>
                <w:szCs w:val="16"/>
                <w:lang w:val="en-US"/>
              </w:rPr>
            </w:pPr>
            <w:r w:rsidRPr="000C58F6">
              <w:rPr>
                <w:rFonts w:ascii="Arial" w:eastAsia="Tahoma" w:hAnsi="Arial" w:cs="Arial"/>
                <w:color w:val="000000"/>
                <w:sz w:val="16"/>
                <w:szCs w:val="16"/>
                <w:lang w:val="en-US"/>
              </w:rPr>
              <w:t>Note 1: The 99% species protection level for PFOS is close to the level of detection. Agencies may wish to apply a 'detect' threshold in such circumstances rather than a quantified measurement.</w:t>
            </w:r>
          </w:p>
          <w:p w14:paraId="0DAD3BC0" w14:textId="77777777" w:rsidR="000C58F6" w:rsidRPr="000C58F6" w:rsidRDefault="000C58F6" w:rsidP="00A63424">
            <w:pPr>
              <w:pStyle w:val="TableText"/>
              <w:spacing w:after="0"/>
              <w:rPr>
                <w:rFonts w:ascii="Arial" w:eastAsia="Tahoma" w:hAnsi="Arial" w:cs="Arial"/>
                <w:color w:val="000000"/>
                <w:sz w:val="16"/>
                <w:szCs w:val="16"/>
                <w:lang w:val="en-US"/>
              </w:rPr>
            </w:pPr>
            <w:r w:rsidRPr="000C58F6">
              <w:rPr>
                <w:rFonts w:ascii="Arial" w:eastAsia="Tahoma" w:hAnsi="Arial" w:cs="Arial"/>
                <w:color w:val="000000"/>
                <w:sz w:val="16"/>
                <w:szCs w:val="16"/>
                <w:lang w:val="en-US"/>
              </w:rPr>
              <w:t>Note 2: The draft guidelines do not account for effects which result from the biomagnification of toxicants in air-breathing animals or in animals which prey on aquatic organisms.</w:t>
            </w:r>
          </w:p>
          <w:p w14:paraId="49D9FA6F" w14:textId="77777777" w:rsidR="000C58F6" w:rsidRPr="000C58F6" w:rsidRDefault="000C58F6" w:rsidP="000C58F6">
            <w:pPr>
              <w:pStyle w:val="TableText"/>
              <w:rPr>
                <w:rFonts w:ascii="Arial" w:hAnsi="Arial" w:cs="Arial"/>
                <w:sz w:val="16"/>
                <w:szCs w:val="16"/>
              </w:rPr>
            </w:pPr>
            <w:r w:rsidRPr="000C58F6">
              <w:rPr>
                <w:rFonts w:ascii="Arial" w:eastAsia="Tahoma" w:hAnsi="Arial" w:cs="Arial"/>
                <w:color w:val="000000"/>
                <w:sz w:val="16"/>
                <w:szCs w:val="16"/>
                <w:lang w:val="en-US"/>
              </w:rPr>
              <w:t>Note 3: The WQG advise that the 99% level of protection be used for ‘…slightly to moderately disturbed systems'. This approach is generally adopted for chemicals that bioaccumulate and biomagnify in wildlife.</w:t>
            </w:r>
          </w:p>
        </w:tc>
      </w:tr>
      <w:tr w:rsidR="00A63424" w:rsidRPr="000C58F6" w14:paraId="4E5E2459" w14:textId="77777777" w:rsidTr="00A63424">
        <w:tc>
          <w:tcPr>
            <w:tcW w:w="1271" w:type="dxa"/>
          </w:tcPr>
          <w:p w14:paraId="447B37D8" w14:textId="77777777" w:rsidR="000C58F6" w:rsidRPr="000C58F6" w:rsidRDefault="000C58F6" w:rsidP="000C58F6">
            <w:pPr>
              <w:pStyle w:val="TableText"/>
              <w:rPr>
                <w:rFonts w:ascii="Arial" w:hAnsi="Arial" w:cs="Arial"/>
                <w:sz w:val="16"/>
                <w:szCs w:val="16"/>
              </w:rPr>
            </w:pPr>
          </w:p>
        </w:tc>
        <w:tc>
          <w:tcPr>
            <w:tcW w:w="1134" w:type="dxa"/>
          </w:tcPr>
          <w:p w14:paraId="461A3601"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0.13 µg/L</w:t>
            </w:r>
          </w:p>
        </w:tc>
        <w:tc>
          <w:tcPr>
            <w:tcW w:w="992" w:type="dxa"/>
          </w:tcPr>
          <w:p w14:paraId="7696AAB6"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220 µg/L</w:t>
            </w:r>
          </w:p>
        </w:tc>
        <w:tc>
          <w:tcPr>
            <w:tcW w:w="1985" w:type="dxa"/>
          </w:tcPr>
          <w:p w14:paraId="0D200CF8" w14:textId="77777777" w:rsidR="000C58F6" w:rsidRPr="000C58F6" w:rsidRDefault="000C58F6" w:rsidP="000C58F6">
            <w:pPr>
              <w:pStyle w:val="TableText"/>
              <w:rPr>
                <w:rFonts w:ascii="Arial" w:hAnsi="Arial" w:cs="Arial"/>
                <w:sz w:val="16"/>
                <w:szCs w:val="16"/>
              </w:rPr>
            </w:pPr>
            <w:r w:rsidRPr="000C58F6">
              <w:rPr>
                <w:rFonts w:ascii="Arial" w:eastAsia="Tahoma" w:hAnsi="Arial" w:cs="Arial"/>
                <w:color w:val="000000"/>
                <w:spacing w:val="-4"/>
                <w:sz w:val="16"/>
                <w:szCs w:val="16"/>
                <w:lang w:val="en-US"/>
              </w:rPr>
              <w:t>95% species protection — slightly to moderately disturbed systems</w:t>
            </w:r>
          </w:p>
        </w:tc>
        <w:tc>
          <w:tcPr>
            <w:tcW w:w="3225" w:type="dxa"/>
            <w:vMerge/>
          </w:tcPr>
          <w:p w14:paraId="219E3B85" w14:textId="77777777" w:rsidR="000C58F6" w:rsidRPr="000C58F6" w:rsidRDefault="000C58F6" w:rsidP="000C58F6">
            <w:pPr>
              <w:pStyle w:val="TableText"/>
              <w:rPr>
                <w:rFonts w:ascii="Arial" w:hAnsi="Arial" w:cs="Arial"/>
                <w:sz w:val="16"/>
                <w:szCs w:val="16"/>
              </w:rPr>
            </w:pPr>
          </w:p>
        </w:tc>
      </w:tr>
      <w:tr w:rsidR="00A63424" w:rsidRPr="000C58F6" w14:paraId="3A468462" w14:textId="77777777" w:rsidTr="00A63424">
        <w:tc>
          <w:tcPr>
            <w:tcW w:w="1271" w:type="dxa"/>
          </w:tcPr>
          <w:p w14:paraId="0CA54BAB" w14:textId="77777777" w:rsidR="000C58F6" w:rsidRPr="000C58F6" w:rsidRDefault="000C58F6" w:rsidP="000C58F6">
            <w:pPr>
              <w:pStyle w:val="TableText"/>
              <w:rPr>
                <w:rFonts w:ascii="Arial" w:hAnsi="Arial" w:cs="Arial"/>
                <w:sz w:val="16"/>
                <w:szCs w:val="16"/>
              </w:rPr>
            </w:pPr>
          </w:p>
        </w:tc>
        <w:tc>
          <w:tcPr>
            <w:tcW w:w="1134" w:type="dxa"/>
          </w:tcPr>
          <w:p w14:paraId="3C5490B9"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2 µg/L</w:t>
            </w:r>
          </w:p>
        </w:tc>
        <w:tc>
          <w:tcPr>
            <w:tcW w:w="992" w:type="dxa"/>
          </w:tcPr>
          <w:p w14:paraId="1340EC7D"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632 µg/L</w:t>
            </w:r>
          </w:p>
        </w:tc>
        <w:tc>
          <w:tcPr>
            <w:tcW w:w="1985" w:type="dxa"/>
          </w:tcPr>
          <w:p w14:paraId="3CBD44BD" w14:textId="77777777" w:rsidR="000C58F6" w:rsidRPr="00A63424" w:rsidRDefault="000C58F6" w:rsidP="000C58F6">
            <w:pPr>
              <w:pStyle w:val="TableText"/>
              <w:rPr>
                <w:rFonts w:ascii="Arial" w:eastAsia="Tahoma" w:hAnsi="Arial" w:cs="Arial"/>
                <w:color w:val="000000"/>
                <w:spacing w:val="-5"/>
                <w:sz w:val="16"/>
                <w:szCs w:val="16"/>
              </w:rPr>
            </w:pPr>
            <w:r w:rsidRPr="000C58F6">
              <w:rPr>
                <w:rFonts w:ascii="Arial" w:eastAsia="Tahoma" w:hAnsi="Arial" w:cs="Arial"/>
                <w:color w:val="000000"/>
                <w:spacing w:val="-5"/>
                <w:sz w:val="16"/>
                <w:szCs w:val="16"/>
                <w:lang w:val="en-US"/>
              </w:rPr>
              <w:t>90% species protection —</w:t>
            </w:r>
            <w:r w:rsidRPr="000C58F6">
              <w:rPr>
                <w:rFonts w:ascii="Arial" w:eastAsia="Tahoma" w:hAnsi="Arial" w:cs="Arial"/>
                <w:color w:val="2F324B"/>
                <w:spacing w:val="-5"/>
                <w:sz w:val="16"/>
                <w:szCs w:val="16"/>
                <w:lang w:val="en-US"/>
              </w:rPr>
              <w:t xml:space="preserve"> highly </w:t>
            </w:r>
            <w:r w:rsidRPr="000C58F6">
              <w:rPr>
                <w:rFonts w:ascii="Arial" w:eastAsia="Tahoma" w:hAnsi="Arial" w:cs="Arial"/>
                <w:color w:val="000000"/>
                <w:spacing w:val="-5"/>
                <w:sz w:val="16"/>
                <w:szCs w:val="16"/>
                <w:lang w:val="en-US"/>
              </w:rPr>
              <w:t>disturbed systems</w:t>
            </w:r>
          </w:p>
        </w:tc>
        <w:tc>
          <w:tcPr>
            <w:tcW w:w="3225" w:type="dxa"/>
            <w:vMerge/>
          </w:tcPr>
          <w:p w14:paraId="4402CB85" w14:textId="77777777" w:rsidR="000C58F6" w:rsidRPr="000C58F6" w:rsidRDefault="000C58F6" w:rsidP="000C58F6">
            <w:pPr>
              <w:pStyle w:val="TableText"/>
              <w:rPr>
                <w:rFonts w:ascii="Arial" w:hAnsi="Arial" w:cs="Arial"/>
                <w:sz w:val="16"/>
                <w:szCs w:val="16"/>
              </w:rPr>
            </w:pPr>
          </w:p>
        </w:tc>
      </w:tr>
      <w:tr w:rsidR="00A63424" w:rsidRPr="000C58F6" w14:paraId="784EF56F" w14:textId="77777777" w:rsidTr="00A63424">
        <w:tc>
          <w:tcPr>
            <w:tcW w:w="1271" w:type="dxa"/>
          </w:tcPr>
          <w:p w14:paraId="3E517FFD" w14:textId="77777777" w:rsidR="000C58F6" w:rsidRPr="000C58F6" w:rsidRDefault="000C58F6" w:rsidP="000C58F6">
            <w:pPr>
              <w:pStyle w:val="TableText"/>
              <w:rPr>
                <w:rFonts w:ascii="Arial" w:hAnsi="Arial" w:cs="Arial"/>
                <w:sz w:val="16"/>
                <w:szCs w:val="16"/>
              </w:rPr>
            </w:pPr>
          </w:p>
        </w:tc>
        <w:tc>
          <w:tcPr>
            <w:tcW w:w="1134" w:type="dxa"/>
          </w:tcPr>
          <w:p w14:paraId="57A7E553"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31 µg/L</w:t>
            </w:r>
          </w:p>
        </w:tc>
        <w:tc>
          <w:tcPr>
            <w:tcW w:w="992" w:type="dxa"/>
          </w:tcPr>
          <w:p w14:paraId="5F1587E1"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1824 µg/L</w:t>
            </w:r>
          </w:p>
        </w:tc>
        <w:tc>
          <w:tcPr>
            <w:tcW w:w="1985" w:type="dxa"/>
          </w:tcPr>
          <w:p w14:paraId="580A9DB3" w14:textId="77777777" w:rsidR="000C58F6" w:rsidRPr="00A63424" w:rsidRDefault="000C58F6" w:rsidP="000C58F6">
            <w:pPr>
              <w:pStyle w:val="TableText"/>
              <w:rPr>
                <w:rFonts w:ascii="Arial" w:eastAsia="Tahoma" w:hAnsi="Arial" w:cs="Arial"/>
                <w:color w:val="000000"/>
                <w:spacing w:val="-5"/>
                <w:sz w:val="16"/>
                <w:szCs w:val="16"/>
              </w:rPr>
            </w:pPr>
            <w:r w:rsidRPr="000C58F6">
              <w:rPr>
                <w:rFonts w:ascii="Arial" w:eastAsia="Tahoma" w:hAnsi="Arial" w:cs="Arial"/>
                <w:color w:val="000000"/>
                <w:spacing w:val="-5"/>
                <w:sz w:val="16"/>
                <w:szCs w:val="16"/>
                <w:lang w:val="en-US"/>
              </w:rPr>
              <w:t>80% species protection —</w:t>
            </w:r>
            <w:r w:rsidRPr="000C58F6">
              <w:rPr>
                <w:rFonts w:ascii="Arial" w:eastAsia="Tahoma" w:hAnsi="Arial" w:cs="Arial"/>
                <w:color w:val="2F324B"/>
                <w:spacing w:val="-5"/>
                <w:sz w:val="16"/>
                <w:szCs w:val="16"/>
                <w:lang w:val="en-US"/>
              </w:rPr>
              <w:t xml:space="preserve"> highly </w:t>
            </w:r>
            <w:r w:rsidRPr="000C58F6">
              <w:rPr>
                <w:rFonts w:ascii="Arial" w:eastAsia="Tahoma" w:hAnsi="Arial" w:cs="Arial"/>
                <w:color w:val="000000"/>
                <w:spacing w:val="-5"/>
                <w:sz w:val="16"/>
                <w:szCs w:val="16"/>
                <w:lang w:val="en-US"/>
              </w:rPr>
              <w:t>disturbed systems</w:t>
            </w:r>
          </w:p>
        </w:tc>
        <w:tc>
          <w:tcPr>
            <w:tcW w:w="3225" w:type="dxa"/>
            <w:vMerge/>
          </w:tcPr>
          <w:p w14:paraId="2A50C980" w14:textId="77777777" w:rsidR="000C58F6" w:rsidRPr="000C58F6" w:rsidRDefault="000C58F6" w:rsidP="000C58F6">
            <w:pPr>
              <w:pStyle w:val="TableText"/>
              <w:rPr>
                <w:rFonts w:ascii="Arial" w:hAnsi="Arial" w:cs="Arial"/>
                <w:sz w:val="16"/>
                <w:szCs w:val="16"/>
              </w:rPr>
            </w:pPr>
          </w:p>
        </w:tc>
      </w:tr>
      <w:tr w:rsidR="00A63424" w:rsidRPr="000C58F6" w14:paraId="1694F6CA" w14:textId="77777777" w:rsidTr="00A63424">
        <w:tc>
          <w:tcPr>
            <w:tcW w:w="1271" w:type="dxa"/>
          </w:tcPr>
          <w:p w14:paraId="082A9D89" w14:textId="77777777" w:rsidR="000C58F6" w:rsidRPr="000C58F6" w:rsidRDefault="000C58F6" w:rsidP="000C58F6">
            <w:pPr>
              <w:pStyle w:val="TableText"/>
              <w:rPr>
                <w:rFonts w:ascii="Arial" w:hAnsi="Arial" w:cs="Arial"/>
                <w:sz w:val="16"/>
                <w:szCs w:val="16"/>
              </w:rPr>
            </w:pPr>
            <w:r w:rsidRPr="000C58F6">
              <w:rPr>
                <w:rFonts w:ascii="Arial" w:hAnsi="Arial" w:cs="Arial"/>
                <w:sz w:val="16"/>
                <w:szCs w:val="16"/>
              </w:rPr>
              <w:t>Interim marine</w:t>
            </w:r>
          </w:p>
        </w:tc>
        <w:tc>
          <w:tcPr>
            <w:tcW w:w="1134" w:type="dxa"/>
          </w:tcPr>
          <w:p w14:paraId="65EA4E22"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0.00023 µg/L</w:t>
            </w:r>
          </w:p>
        </w:tc>
        <w:tc>
          <w:tcPr>
            <w:tcW w:w="992" w:type="dxa"/>
          </w:tcPr>
          <w:p w14:paraId="68C4657C"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19 µg/L</w:t>
            </w:r>
          </w:p>
        </w:tc>
        <w:tc>
          <w:tcPr>
            <w:tcW w:w="1985" w:type="dxa"/>
          </w:tcPr>
          <w:p w14:paraId="51763EE8" w14:textId="77777777" w:rsidR="000C58F6" w:rsidRPr="000C58F6" w:rsidRDefault="000C58F6" w:rsidP="000C58F6">
            <w:pPr>
              <w:pStyle w:val="TableText"/>
              <w:rPr>
                <w:rFonts w:ascii="Arial" w:hAnsi="Arial" w:cs="Arial"/>
                <w:sz w:val="16"/>
                <w:szCs w:val="16"/>
              </w:rPr>
            </w:pPr>
            <w:r w:rsidRPr="000C58F6">
              <w:rPr>
                <w:rFonts w:ascii="Arial" w:eastAsia="Tahoma" w:hAnsi="Arial" w:cs="Arial"/>
                <w:color w:val="2F324B"/>
                <w:spacing w:val="-2"/>
                <w:sz w:val="16"/>
                <w:szCs w:val="16"/>
                <w:lang w:val="en-US"/>
              </w:rPr>
              <w:t>99%</w:t>
            </w:r>
            <w:r w:rsidRPr="000C58F6">
              <w:rPr>
                <w:rFonts w:ascii="Arial" w:eastAsia="Tahoma" w:hAnsi="Arial" w:cs="Arial"/>
                <w:color w:val="000000"/>
                <w:spacing w:val="-2"/>
                <w:sz w:val="16"/>
                <w:szCs w:val="16"/>
                <w:lang w:val="en-US"/>
              </w:rPr>
              <w:t xml:space="preserve"> species protection —</w:t>
            </w:r>
            <w:r w:rsidRPr="000C58F6">
              <w:rPr>
                <w:rFonts w:ascii="Arial" w:eastAsia="Tahoma" w:hAnsi="Arial" w:cs="Arial"/>
                <w:color w:val="2F324B"/>
                <w:spacing w:val="-2"/>
                <w:sz w:val="16"/>
                <w:szCs w:val="16"/>
                <w:lang w:val="en-US"/>
              </w:rPr>
              <w:t xml:space="preserve"> high</w:t>
            </w:r>
            <w:r w:rsidRPr="000C58F6">
              <w:rPr>
                <w:rFonts w:ascii="Arial" w:eastAsia="Tahoma" w:hAnsi="Arial" w:cs="Arial"/>
                <w:color w:val="000000"/>
                <w:spacing w:val="-2"/>
                <w:sz w:val="16"/>
                <w:szCs w:val="16"/>
                <w:lang w:val="en-US"/>
              </w:rPr>
              <w:t xml:space="preserve"> conservation </w:t>
            </w:r>
            <w:r w:rsidRPr="000C58F6">
              <w:rPr>
                <w:rFonts w:ascii="Arial" w:eastAsia="Tahoma" w:hAnsi="Arial" w:cs="Arial"/>
                <w:color w:val="2F324B"/>
                <w:spacing w:val="-2"/>
                <w:sz w:val="16"/>
                <w:szCs w:val="16"/>
                <w:lang w:val="en-US"/>
              </w:rPr>
              <w:t>value</w:t>
            </w:r>
            <w:r w:rsidRPr="000C58F6">
              <w:rPr>
                <w:rFonts w:ascii="Arial" w:eastAsia="Tahoma" w:hAnsi="Arial" w:cs="Arial"/>
                <w:color w:val="000000"/>
                <w:spacing w:val="-2"/>
                <w:sz w:val="16"/>
                <w:szCs w:val="16"/>
                <w:lang w:val="en-US"/>
              </w:rPr>
              <w:t xml:space="preserve"> systems</w:t>
            </w:r>
          </w:p>
        </w:tc>
        <w:tc>
          <w:tcPr>
            <w:tcW w:w="3225" w:type="dxa"/>
            <w:vMerge w:val="restart"/>
          </w:tcPr>
          <w:p w14:paraId="40582399" w14:textId="77777777" w:rsidR="000C58F6" w:rsidRPr="000C58F6" w:rsidRDefault="000C58F6" w:rsidP="00A63424">
            <w:pPr>
              <w:pStyle w:val="TableText"/>
              <w:spacing w:after="0"/>
              <w:rPr>
                <w:rFonts w:ascii="Arial" w:eastAsia="Tahoma" w:hAnsi="Arial" w:cs="Arial"/>
                <w:color w:val="000000"/>
                <w:spacing w:val="1"/>
                <w:sz w:val="16"/>
                <w:szCs w:val="16"/>
              </w:rPr>
            </w:pPr>
            <w:r w:rsidRPr="000C58F6">
              <w:rPr>
                <w:rFonts w:ascii="Arial" w:eastAsia="Tahoma" w:hAnsi="Arial" w:cs="Arial"/>
                <w:color w:val="000000"/>
                <w:spacing w:val="1"/>
                <w:sz w:val="16"/>
                <w:szCs w:val="16"/>
                <w:lang w:val="en-US"/>
              </w:rPr>
              <w:t>As above</w:t>
            </w:r>
          </w:p>
          <w:p w14:paraId="105A6BD8" w14:textId="77777777" w:rsidR="000C58F6" w:rsidRPr="000C58F6" w:rsidRDefault="000C58F6" w:rsidP="00A63424">
            <w:pPr>
              <w:pStyle w:val="TableText"/>
              <w:spacing w:after="0"/>
              <w:rPr>
                <w:rFonts w:ascii="Arial" w:eastAsia="Tahoma" w:hAnsi="Arial" w:cs="Arial"/>
                <w:color w:val="000000"/>
                <w:spacing w:val="-3"/>
                <w:sz w:val="16"/>
                <w:szCs w:val="16"/>
              </w:rPr>
            </w:pPr>
            <w:r w:rsidRPr="000C58F6">
              <w:rPr>
                <w:rFonts w:ascii="Arial" w:eastAsia="Tahoma" w:hAnsi="Arial" w:cs="Arial"/>
                <w:color w:val="000000"/>
                <w:spacing w:val="-4"/>
                <w:sz w:val="16"/>
                <w:szCs w:val="16"/>
                <w:lang w:val="en-US"/>
              </w:rPr>
              <w:t>Freshwater values are to be used on an interim basis until final</w:t>
            </w:r>
            <w:r w:rsidRPr="000C58F6">
              <w:rPr>
                <w:rFonts w:ascii="Arial" w:eastAsia="Tahoma" w:hAnsi="Arial" w:cs="Arial"/>
                <w:color w:val="2F324B"/>
                <w:spacing w:val="-4"/>
                <w:sz w:val="16"/>
                <w:szCs w:val="16"/>
                <w:lang w:val="en-US"/>
              </w:rPr>
              <w:t xml:space="preserve"> marine</w:t>
            </w:r>
            <w:r w:rsidRPr="000C58F6">
              <w:rPr>
                <w:rFonts w:ascii="Arial" w:eastAsia="Tahoma" w:hAnsi="Arial" w:cs="Arial"/>
                <w:color w:val="000000"/>
                <w:spacing w:val="-4"/>
                <w:sz w:val="16"/>
                <w:szCs w:val="16"/>
                <w:lang w:val="en-US"/>
              </w:rPr>
              <w:t xml:space="preserve"> guideline values can be set using the nationally-agreed process under</w:t>
            </w:r>
            <w:r w:rsidR="00A63424">
              <w:rPr>
                <w:rFonts w:ascii="Arial" w:eastAsia="Tahoma" w:hAnsi="Arial" w:cs="Arial"/>
                <w:color w:val="000000"/>
                <w:spacing w:val="-4"/>
                <w:sz w:val="16"/>
                <w:szCs w:val="16"/>
                <w:lang w:val="en-US"/>
              </w:rPr>
              <w:t xml:space="preserve"> </w:t>
            </w:r>
            <w:r w:rsidRPr="000C58F6">
              <w:rPr>
                <w:rFonts w:ascii="Arial" w:eastAsia="Tahoma" w:hAnsi="Arial" w:cs="Arial"/>
                <w:color w:val="000000"/>
                <w:spacing w:val="-3"/>
                <w:sz w:val="16"/>
                <w:szCs w:val="16"/>
                <w:lang w:val="en-US"/>
              </w:rPr>
              <w:t>the Australian</w:t>
            </w:r>
            <w:r w:rsidRPr="000C58F6">
              <w:rPr>
                <w:rFonts w:ascii="Arial" w:eastAsia="Tahoma" w:hAnsi="Arial" w:cs="Arial"/>
                <w:color w:val="2F324B"/>
                <w:spacing w:val="-3"/>
                <w:sz w:val="16"/>
                <w:szCs w:val="16"/>
                <w:lang w:val="en-US"/>
              </w:rPr>
              <w:t xml:space="preserve"> and</w:t>
            </w:r>
            <w:r w:rsidRPr="000C58F6">
              <w:rPr>
                <w:rFonts w:ascii="Arial" w:eastAsia="Tahoma" w:hAnsi="Arial" w:cs="Arial"/>
                <w:color w:val="000000"/>
                <w:spacing w:val="-3"/>
                <w:sz w:val="16"/>
                <w:szCs w:val="16"/>
                <w:lang w:val="en-US"/>
              </w:rPr>
              <w:t xml:space="preserve"> New Zealand Guidelines for Fresh and Marine Water Quality*</w:t>
            </w:r>
          </w:p>
          <w:p w14:paraId="77E7E6FA" w14:textId="77777777" w:rsidR="000C58F6" w:rsidRPr="00A63424" w:rsidRDefault="000C58F6" w:rsidP="000C58F6">
            <w:pPr>
              <w:pStyle w:val="TableText"/>
              <w:rPr>
                <w:rFonts w:ascii="Arial" w:eastAsia="Tahoma" w:hAnsi="Arial" w:cs="Arial"/>
                <w:color w:val="2F324B"/>
                <w:spacing w:val="-4"/>
                <w:sz w:val="16"/>
                <w:szCs w:val="16"/>
                <w:lang w:val="en-US"/>
              </w:rPr>
            </w:pPr>
            <w:r w:rsidRPr="000C58F6">
              <w:rPr>
                <w:rFonts w:ascii="Arial" w:eastAsia="Tahoma" w:hAnsi="Arial" w:cs="Arial"/>
                <w:color w:val="2F324B"/>
                <w:spacing w:val="-4"/>
                <w:sz w:val="16"/>
                <w:szCs w:val="16"/>
                <w:lang w:val="en-US"/>
              </w:rPr>
              <w:t xml:space="preserve">Note 1: The WQG advise that in the ease of estuaries, the most stringent of </w:t>
            </w:r>
            <w:r w:rsidRPr="000C58F6">
              <w:rPr>
                <w:rFonts w:ascii="Arial" w:eastAsia="Tahoma" w:hAnsi="Arial" w:cs="Arial"/>
                <w:color w:val="2F324B"/>
                <w:spacing w:val="-4"/>
                <w:sz w:val="16"/>
                <w:szCs w:val="16"/>
                <w:lang w:val="en-US"/>
              </w:rPr>
              <w:lastRenderedPageBreak/>
              <w:t>freshwater and marine criteria apply, taking account of any available salinity correction.</w:t>
            </w:r>
          </w:p>
        </w:tc>
      </w:tr>
      <w:tr w:rsidR="00A63424" w:rsidRPr="000C58F6" w14:paraId="47930B64" w14:textId="77777777" w:rsidTr="00A63424">
        <w:tc>
          <w:tcPr>
            <w:tcW w:w="1271" w:type="dxa"/>
          </w:tcPr>
          <w:p w14:paraId="6BCC617F" w14:textId="77777777" w:rsidR="000C58F6" w:rsidRPr="000C58F6" w:rsidRDefault="000C58F6" w:rsidP="000C58F6">
            <w:pPr>
              <w:pStyle w:val="TableText"/>
              <w:rPr>
                <w:rFonts w:ascii="Arial" w:hAnsi="Arial" w:cs="Arial"/>
                <w:sz w:val="16"/>
                <w:szCs w:val="16"/>
              </w:rPr>
            </w:pPr>
          </w:p>
        </w:tc>
        <w:tc>
          <w:tcPr>
            <w:tcW w:w="1134" w:type="dxa"/>
          </w:tcPr>
          <w:p w14:paraId="1AC5353B"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0.13 µg/L</w:t>
            </w:r>
          </w:p>
        </w:tc>
        <w:tc>
          <w:tcPr>
            <w:tcW w:w="992" w:type="dxa"/>
          </w:tcPr>
          <w:p w14:paraId="1A97E816"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220 µg/L</w:t>
            </w:r>
          </w:p>
        </w:tc>
        <w:tc>
          <w:tcPr>
            <w:tcW w:w="1985" w:type="dxa"/>
          </w:tcPr>
          <w:p w14:paraId="50AF4AB0" w14:textId="77777777" w:rsidR="000C58F6" w:rsidRPr="000C58F6" w:rsidRDefault="000C58F6" w:rsidP="000C58F6">
            <w:pPr>
              <w:pStyle w:val="TableText"/>
              <w:rPr>
                <w:rFonts w:ascii="Arial" w:hAnsi="Arial" w:cs="Arial"/>
                <w:sz w:val="16"/>
                <w:szCs w:val="16"/>
              </w:rPr>
            </w:pPr>
            <w:r w:rsidRPr="000C58F6">
              <w:rPr>
                <w:rFonts w:ascii="Arial" w:eastAsia="Tahoma" w:hAnsi="Arial" w:cs="Arial"/>
                <w:color w:val="000000"/>
                <w:spacing w:val="-4"/>
                <w:sz w:val="16"/>
                <w:szCs w:val="16"/>
                <w:lang w:val="en-US"/>
              </w:rPr>
              <w:t>95% species protection — slightly to moderately disturbed systems</w:t>
            </w:r>
          </w:p>
        </w:tc>
        <w:tc>
          <w:tcPr>
            <w:tcW w:w="3225" w:type="dxa"/>
            <w:vMerge/>
          </w:tcPr>
          <w:p w14:paraId="6FD132B4" w14:textId="77777777" w:rsidR="000C58F6" w:rsidRPr="000C58F6" w:rsidRDefault="000C58F6" w:rsidP="000C58F6">
            <w:pPr>
              <w:pStyle w:val="TableText"/>
              <w:rPr>
                <w:rFonts w:ascii="Arial" w:hAnsi="Arial" w:cs="Arial"/>
                <w:sz w:val="16"/>
                <w:szCs w:val="16"/>
              </w:rPr>
            </w:pPr>
          </w:p>
        </w:tc>
      </w:tr>
      <w:tr w:rsidR="00A63424" w:rsidRPr="000C58F6" w14:paraId="0F84F05A" w14:textId="77777777" w:rsidTr="00A63424">
        <w:tc>
          <w:tcPr>
            <w:tcW w:w="1271" w:type="dxa"/>
          </w:tcPr>
          <w:p w14:paraId="6F28D9A9" w14:textId="77777777" w:rsidR="000C58F6" w:rsidRPr="000C58F6" w:rsidRDefault="000C58F6" w:rsidP="000C58F6">
            <w:pPr>
              <w:pStyle w:val="TableText"/>
              <w:rPr>
                <w:rFonts w:ascii="Arial" w:hAnsi="Arial" w:cs="Arial"/>
                <w:sz w:val="16"/>
                <w:szCs w:val="16"/>
              </w:rPr>
            </w:pPr>
          </w:p>
        </w:tc>
        <w:tc>
          <w:tcPr>
            <w:tcW w:w="1134" w:type="dxa"/>
          </w:tcPr>
          <w:p w14:paraId="0D331C89"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2 µg/L</w:t>
            </w:r>
          </w:p>
        </w:tc>
        <w:tc>
          <w:tcPr>
            <w:tcW w:w="992" w:type="dxa"/>
          </w:tcPr>
          <w:p w14:paraId="7CDA7C39"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632 µg/L</w:t>
            </w:r>
          </w:p>
        </w:tc>
        <w:tc>
          <w:tcPr>
            <w:tcW w:w="1985" w:type="dxa"/>
          </w:tcPr>
          <w:p w14:paraId="64DC8958" w14:textId="77777777" w:rsidR="000C58F6" w:rsidRPr="00A63424" w:rsidRDefault="000C58F6" w:rsidP="000C58F6">
            <w:pPr>
              <w:pStyle w:val="TableText"/>
              <w:rPr>
                <w:rFonts w:ascii="Arial" w:eastAsia="Tahoma" w:hAnsi="Arial" w:cs="Arial"/>
                <w:color w:val="000000"/>
                <w:spacing w:val="-5"/>
                <w:sz w:val="16"/>
                <w:szCs w:val="16"/>
              </w:rPr>
            </w:pPr>
            <w:r w:rsidRPr="000C58F6">
              <w:rPr>
                <w:rFonts w:ascii="Arial" w:eastAsia="Tahoma" w:hAnsi="Arial" w:cs="Arial"/>
                <w:color w:val="000000"/>
                <w:spacing w:val="-5"/>
                <w:sz w:val="16"/>
                <w:szCs w:val="16"/>
                <w:lang w:val="en-US"/>
              </w:rPr>
              <w:t>90% species protection —</w:t>
            </w:r>
            <w:r w:rsidRPr="000C58F6">
              <w:rPr>
                <w:rFonts w:ascii="Arial" w:eastAsia="Tahoma" w:hAnsi="Arial" w:cs="Arial"/>
                <w:color w:val="2F324B"/>
                <w:spacing w:val="-5"/>
                <w:sz w:val="16"/>
                <w:szCs w:val="16"/>
                <w:lang w:val="en-US"/>
              </w:rPr>
              <w:t xml:space="preserve"> highly </w:t>
            </w:r>
            <w:r w:rsidRPr="000C58F6">
              <w:rPr>
                <w:rFonts w:ascii="Arial" w:eastAsia="Tahoma" w:hAnsi="Arial" w:cs="Arial"/>
                <w:color w:val="000000"/>
                <w:spacing w:val="-5"/>
                <w:sz w:val="16"/>
                <w:szCs w:val="16"/>
                <w:lang w:val="en-US"/>
              </w:rPr>
              <w:t>disturbed systems</w:t>
            </w:r>
          </w:p>
        </w:tc>
        <w:tc>
          <w:tcPr>
            <w:tcW w:w="3225" w:type="dxa"/>
            <w:vMerge/>
          </w:tcPr>
          <w:p w14:paraId="7B8DF1DF" w14:textId="77777777" w:rsidR="000C58F6" w:rsidRPr="000C58F6" w:rsidRDefault="000C58F6" w:rsidP="000C58F6">
            <w:pPr>
              <w:pStyle w:val="TableText"/>
              <w:rPr>
                <w:rFonts w:ascii="Arial" w:hAnsi="Arial" w:cs="Arial"/>
                <w:sz w:val="16"/>
                <w:szCs w:val="16"/>
              </w:rPr>
            </w:pPr>
          </w:p>
        </w:tc>
      </w:tr>
      <w:tr w:rsidR="00A63424" w:rsidRPr="000C58F6" w14:paraId="1DF14B9F" w14:textId="77777777" w:rsidTr="00A63424">
        <w:tc>
          <w:tcPr>
            <w:tcW w:w="1271" w:type="dxa"/>
          </w:tcPr>
          <w:p w14:paraId="7A055561" w14:textId="77777777" w:rsidR="000C58F6" w:rsidRPr="000C58F6" w:rsidRDefault="000C58F6" w:rsidP="000C58F6">
            <w:pPr>
              <w:pStyle w:val="TableText"/>
              <w:rPr>
                <w:rFonts w:ascii="Arial" w:hAnsi="Arial" w:cs="Arial"/>
                <w:sz w:val="16"/>
                <w:szCs w:val="16"/>
              </w:rPr>
            </w:pPr>
          </w:p>
        </w:tc>
        <w:tc>
          <w:tcPr>
            <w:tcW w:w="1134" w:type="dxa"/>
          </w:tcPr>
          <w:p w14:paraId="39A95C48"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31 µg/L</w:t>
            </w:r>
          </w:p>
        </w:tc>
        <w:tc>
          <w:tcPr>
            <w:tcW w:w="992" w:type="dxa"/>
          </w:tcPr>
          <w:p w14:paraId="3145FB51" w14:textId="77777777" w:rsidR="000C58F6" w:rsidRPr="000C58F6" w:rsidRDefault="000C58F6" w:rsidP="000C58F6">
            <w:pPr>
              <w:pStyle w:val="TableText"/>
              <w:rPr>
                <w:rFonts w:ascii="Arial" w:hAnsi="Arial" w:cs="Arial"/>
                <w:sz w:val="16"/>
                <w:szCs w:val="16"/>
              </w:rPr>
            </w:pPr>
            <w:r w:rsidRPr="000C58F6">
              <w:rPr>
                <w:rFonts w:ascii="Arial" w:eastAsia="Times New Roman" w:hAnsi="Arial" w:cs="Arial"/>
                <w:color w:val="10171E"/>
                <w:spacing w:val="-7"/>
                <w:sz w:val="16"/>
                <w:szCs w:val="16"/>
              </w:rPr>
              <w:t>1824 µg/L</w:t>
            </w:r>
          </w:p>
        </w:tc>
        <w:tc>
          <w:tcPr>
            <w:tcW w:w="1985" w:type="dxa"/>
          </w:tcPr>
          <w:p w14:paraId="64C71F00" w14:textId="77777777" w:rsidR="000C58F6" w:rsidRPr="00A63424" w:rsidRDefault="000C58F6" w:rsidP="000C58F6">
            <w:pPr>
              <w:pStyle w:val="TableText"/>
              <w:rPr>
                <w:rFonts w:ascii="Arial" w:eastAsia="Tahoma" w:hAnsi="Arial" w:cs="Arial"/>
                <w:color w:val="000000"/>
                <w:spacing w:val="-5"/>
                <w:sz w:val="16"/>
                <w:szCs w:val="16"/>
              </w:rPr>
            </w:pPr>
            <w:r w:rsidRPr="000C58F6">
              <w:rPr>
                <w:rFonts w:ascii="Arial" w:eastAsia="Tahoma" w:hAnsi="Arial" w:cs="Arial"/>
                <w:color w:val="000000"/>
                <w:spacing w:val="-5"/>
                <w:sz w:val="16"/>
                <w:szCs w:val="16"/>
                <w:lang w:val="en-US"/>
              </w:rPr>
              <w:t>80% species protection —</w:t>
            </w:r>
            <w:r w:rsidRPr="000C58F6">
              <w:rPr>
                <w:rFonts w:ascii="Arial" w:eastAsia="Tahoma" w:hAnsi="Arial" w:cs="Arial"/>
                <w:color w:val="2F324B"/>
                <w:spacing w:val="-5"/>
                <w:sz w:val="16"/>
                <w:szCs w:val="16"/>
                <w:lang w:val="en-US"/>
              </w:rPr>
              <w:t xml:space="preserve"> highly </w:t>
            </w:r>
            <w:r w:rsidRPr="000C58F6">
              <w:rPr>
                <w:rFonts w:ascii="Arial" w:eastAsia="Tahoma" w:hAnsi="Arial" w:cs="Arial"/>
                <w:color w:val="000000"/>
                <w:spacing w:val="-5"/>
                <w:sz w:val="16"/>
                <w:szCs w:val="16"/>
                <w:lang w:val="en-US"/>
              </w:rPr>
              <w:t>disturbed systems</w:t>
            </w:r>
          </w:p>
        </w:tc>
        <w:tc>
          <w:tcPr>
            <w:tcW w:w="3225" w:type="dxa"/>
            <w:vMerge/>
          </w:tcPr>
          <w:p w14:paraId="45FD3544" w14:textId="77777777" w:rsidR="000C58F6" w:rsidRPr="000C58F6" w:rsidRDefault="000C58F6" w:rsidP="000C58F6">
            <w:pPr>
              <w:pStyle w:val="TableText"/>
              <w:rPr>
                <w:rFonts w:ascii="Arial" w:hAnsi="Arial" w:cs="Arial"/>
                <w:sz w:val="16"/>
                <w:szCs w:val="16"/>
              </w:rPr>
            </w:pPr>
          </w:p>
        </w:tc>
      </w:tr>
    </w:tbl>
    <w:p w14:paraId="4CEEC50A" w14:textId="77777777" w:rsidR="009869ED" w:rsidRPr="009869ED" w:rsidRDefault="000C58F6" w:rsidP="00BB4F46">
      <w:pPr>
        <w:pStyle w:val="Note"/>
        <w:spacing w:after="0" w:line="240" w:lineRule="auto"/>
        <w:rPr>
          <w:rFonts w:ascii="Arial" w:hAnsi="Arial" w:cs="Arial"/>
          <w:szCs w:val="18"/>
        </w:rPr>
      </w:pPr>
      <w:r w:rsidRPr="00BB4F46">
        <w:rPr>
          <w:sz w:val="16"/>
          <w:szCs w:val="16"/>
        </w:rPr>
        <w:t>*It is recommended that marine guidelines values developed by CRC CARE be forwarded for consideration using the nationally-agreed process.</w:t>
      </w:r>
    </w:p>
    <w:sectPr w:rsidR="009869ED" w:rsidRPr="009869ED" w:rsidSect="00742E52">
      <w:footerReference w:type="even" r:id="rId38"/>
      <w:footerReference w:type="default" r:id="rId39"/>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E4325" w14:textId="77777777" w:rsidR="00EC5D77" w:rsidRDefault="00EC5D77" w:rsidP="0080531E">
      <w:pPr>
        <w:spacing w:before="0" w:after="0" w:line="240" w:lineRule="auto"/>
      </w:pPr>
      <w:r>
        <w:separator/>
      </w:r>
    </w:p>
    <w:p w14:paraId="4E02C07A" w14:textId="77777777" w:rsidR="00EC5D77" w:rsidRDefault="00EC5D77"/>
  </w:endnote>
  <w:endnote w:type="continuationSeparator" w:id="0">
    <w:p w14:paraId="1C1AB349" w14:textId="77777777" w:rsidR="00EC5D77" w:rsidRDefault="00EC5D77" w:rsidP="0080531E">
      <w:pPr>
        <w:spacing w:before="0" w:after="0" w:line="240" w:lineRule="auto"/>
      </w:pPr>
      <w:r>
        <w:continuationSeparator/>
      </w:r>
    </w:p>
    <w:p w14:paraId="475CB45C" w14:textId="77777777" w:rsidR="00EC5D77" w:rsidRDefault="00EC5D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DDC7E" w14:textId="203FC6A8" w:rsidR="00EC5D77" w:rsidRDefault="00EC5D77"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0A930" w14:textId="77777777" w:rsidR="00EC5D77" w:rsidRDefault="00EC5D77"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213E0" w14:textId="77777777" w:rsidR="00EC5D77" w:rsidRDefault="00EC5D7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F404D" w14:textId="0F923358" w:rsidR="00EC5D77" w:rsidRDefault="00EC5D77" w:rsidP="00CD25E1">
    <w:pPr>
      <w:pStyle w:val="Footereven"/>
    </w:pPr>
    <w:r w:rsidRPr="004F458A">
      <w:rPr>
        <w:b/>
      </w:rPr>
      <w:fldChar w:fldCharType="begin"/>
    </w:r>
    <w:r w:rsidRPr="004F458A">
      <w:instrText xml:space="preserve"> PAGE </w:instrText>
    </w:r>
    <w:r w:rsidRPr="004F458A">
      <w:rPr>
        <w:b/>
      </w:rPr>
      <w:fldChar w:fldCharType="separate"/>
    </w:r>
    <w:r w:rsidR="00A86EA4">
      <w:rPr>
        <w:noProof/>
      </w:rPr>
      <w:t>4</w:t>
    </w:r>
    <w:r w:rsidRPr="004F458A">
      <w:rPr>
        <w:b/>
      </w:rPr>
      <w:fldChar w:fldCharType="end"/>
    </w:r>
    <w:r>
      <w:tab/>
    </w:r>
    <w:r w:rsidRPr="00432E84">
      <w:t>PFAS investigation, response and funding guidance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1366B" w14:textId="21E736F0" w:rsidR="00EC5D77" w:rsidRDefault="00EC5D77" w:rsidP="008278F3">
    <w:pPr>
      <w:pStyle w:val="Footerodd"/>
    </w:pPr>
    <w:r>
      <w:tab/>
      <w:t>PFAS investigation, response and funding guidance</w:t>
    </w:r>
    <w:r>
      <w:tab/>
    </w:r>
    <w:r>
      <w:fldChar w:fldCharType="begin"/>
    </w:r>
    <w:r>
      <w:instrText xml:space="preserve"> PAGE   \* MERGEFORMAT </w:instrText>
    </w:r>
    <w:r>
      <w:fldChar w:fldCharType="separate"/>
    </w:r>
    <w:r w:rsidR="0056237C">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49D8" w14:textId="2D1D310C" w:rsidR="00EC5D77" w:rsidRDefault="00EC5D77" w:rsidP="00CD25E1">
    <w:pPr>
      <w:pStyle w:val="Footereven"/>
    </w:pPr>
    <w:r w:rsidRPr="004F458A">
      <w:rPr>
        <w:b/>
      </w:rPr>
      <w:fldChar w:fldCharType="begin"/>
    </w:r>
    <w:r w:rsidRPr="004F458A">
      <w:instrText xml:space="preserve"> PAGE </w:instrText>
    </w:r>
    <w:r w:rsidRPr="004F458A">
      <w:rPr>
        <w:b/>
      </w:rPr>
      <w:fldChar w:fldCharType="separate"/>
    </w:r>
    <w:r w:rsidR="0056237C">
      <w:rPr>
        <w:noProof/>
      </w:rPr>
      <w:t>20</w:t>
    </w:r>
    <w:r w:rsidRPr="004F458A">
      <w:rPr>
        <w:b/>
      </w:rPr>
      <w:fldChar w:fldCharType="end"/>
    </w:r>
    <w:r>
      <w:tab/>
      <w:t>PFAS investigation, response and funding guidance</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9AEB6" w14:textId="6809D879" w:rsidR="00EC5D77" w:rsidRDefault="00EC5D77" w:rsidP="008278F3">
    <w:pPr>
      <w:pStyle w:val="Footerodd"/>
    </w:pPr>
    <w:r>
      <w:tab/>
      <w:t>PFAS investigation, response and funding guidance</w:t>
    </w:r>
    <w:r>
      <w:tab/>
    </w:r>
    <w:r>
      <w:fldChar w:fldCharType="begin"/>
    </w:r>
    <w:r>
      <w:instrText xml:space="preserve"> PAGE   \* MERGEFORMAT </w:instrText>
    </w:r>
    <w:r>
      <w:fldChar w:fldCharType="separate"/>
    </w:r>
    <w:r w:rsidR="0056237C">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B76CA2" w14:textId="77777777" w:rsidR="00EC5D77" w:rsidRDefault="00EC5D77" w:rsidP="00CB5C5F">
      <w:pPr>
        <w:spacing w:before="0" w:after="80" w:line="240" w:lineRule="auto"/>
      </w:pPr>
      <w:r>
        <w:separator/>
      </w:r>
    </w:p>
  </w:footnote>
  <w:footnote w:type="continuationSeparator" w:id="0">
    <w:p w14:paraId="111DAD37" w14:textId="77777777" w:rsidR="00EC5D77" w:rsidRDefault="00EC5D77" w:rsidP="0080531E">
      <w:pPr>
        <w:spacing w:before="0" w:after="0" w:line="240" w:lineRule="auto"/>
      </w:pPr>
      <w:r>
        <w:continuationSeparator/>
      </w:r>
    </w:p>
    <w:p w14:paraId="3A8ACD9B" w14:textId="77777777" w:rsidR="00EC5D77" w:rsidRDefault="00EC5D77"/>
  </w:footnote>
  <w:footnote w:id="1">
    <w:p w14:paraId="14A31523" w14:textId="480D7FD2" w:rsidR="00EC5D77" w:rsidRDefault="00EC5D77" w:rsidP="00422B3A">
      <w:pPr>
        <w:pStyle w:val="FootnoteText"/>
      </w:pPr>
      <w:r>
        <w:rPr>
          <w:rStyle w:val="FootnoteReference"/>
        </w:rPr>
        <w:footnoteRef/>
      </w:r>
      <w:r>
        <w:t xml:space="preserve"> </w:t>
      </w:r>
      <w:r>
        <w:tab/>
        <w:t>RMA section 4(6).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99900" w14:textId="3B916034" w:rsidR="00EC5D77" w:rsidRPr="00DE7BF8" w:rsidRDefault="00EC5D77"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9D0C9" w14:textId="77777777" w:rsidR="00EC5D77" w:rsidRDefault="00EC5D77"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70D0" w14:textId="77777777" w:rsidR="00EC5D77" w:rsidRDefault="00EC5D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07348"/>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C13E1C72"/>
    <w:lvl w:ilvl="0" w:tplc="14090019">
      <w:start w:val="1"/>
      <w:numFmt w:val="lowerLetter"/>
      <w:pStyle w:val="Sub-lista"/>
      <w:lvlText w:val="%1."/>
      <w:lvlJc w:val="left"/>
      <w:pPr>
        <w:ind w:left="757" w:hanging="360"/>
      </w:pPr>
      <w:rPr>
        <w:rFonts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4B129E4"/>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3" w15:restartNumberingAfterBreak="0">
    <w:nsid w:val="4D643F5D"/>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5" w15:restartNumberingAfterBreak="0">
    <w:nsid w:val="57A6321C"/>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29" w15:restartNumberingAfterBreak="0">
    <w:nsid w:val="684850E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3" w15:restartNumberingAfterBreak="0">
    <w:nsid w:val="71BC1776"/>
    <w:multiLevelType w:val="multilevel"/>
    <w:tmpl w:val="14090001"/>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4"/>
  </w:num>
  <w:num w:numId="3">
    <w:abstractNumId w:val="35"/>
  </w:num>
  <w:num w:numId="4">
    <w:abstractNumId w:val="19"/>
  </w:num>
  <w:num w:numId="5">
    <w:abstractNumId w:val="12"/>
  </w:num>
  <w:num w:numId="6">
    <w:abstractNumId w:val="7"/>
  </w:num>
  <w:num w:numId="7">
    <w:abstractNumId w:val="22"/>
  </w:num>
  <w:num w:numId="8">
    <w:abstractNumId w:val="21"/>
  </w:num>
  <w:num w:numId="9">
    <w:abstractNumId w:val="34"/>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8"/>
  </w:num>
  <w:num w:numId="13">
    <w:abstractNumId w:val="11"/>
  </w:num>
  <w:num w:numId="14">
    <w:abstractNumId w:val="30"/>
  </w:num>
  <w:num w:numId="15">
    <w:abstractNumId w:val="20"/>
  </w:num>
  <w:num w:numId="16">
    <w:abstractNumId w:val="10"/>
  </w:num>
  <w:num w:numId="17">
    <w:abstractNumId w:val="29"/>
  </w:num>
  <w:num w:numId="18">
    <w:abstractNumId w:val="25"/>
  </w:num>
  <w:num w:numId="19">
    <w:abstractNumId w:val="31"/>
  </w:num>
  <w:num w:numId="20">
    <w:abstractNumId w:val="13"/>
  </w:num>
  <w:num w:numId="21">
    <w:abstractNumId w:val="26"/>
  </w:num>
  <w:num w:numId="22">
    <w:abstractNumId w:val="4"/>
  </w:num>
  <w:num w:numId="23">
    <w:abstractNumId w:val="23"/>
  </w:num>
  <w:num w:numId="24">
    <w:abstractNumId w:val="15"/>
  </w:num>
  <w:num w:numId="25">
    <w:abstractNumId w:val="33"/>
  </w:num>
  <w:num w:numId="26">
    <w:abstractNumId w:val="27"/>
  </w:num>
  <w:num w:numId="27">
    <w:abstractNumId w:val="0"/>
  </w:num>
  <w:num w:numId="28">
    <w:abstractNumId w:val="17"/>
  </w:num>
  <w:num w:numId="29">
    <w:abstractNumId w:val="8"/>
  </w:num>
  <w:num w:numId="30">
    <w:abstractNumId w:val="3"/>
  </w:num>
  <w:num w:numId="31">
    <w:abstractNumId w:val="2"/>
  </w:num>
  <w:num w:numId="32">
    <w:abstractNumId w:val="5"/>
  </w:num>
  <w:num w:numId="33">
    <w:abstractNumId w:val="9"/>
  </w:num>
  <w:num w:numId="34">
    <w:abstractNumId w:val="18"/>
  </w:num>
  <w:num w:numId="35">
    <w:abstractNumId w:val="16"/>
  </w:num>
  <w:num w:numId="36">
    <w:abstractNumId w:val="6"/>
  </w:num>
  <w:num w:numId="37">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397"/>
  <w:evenAndOddHeaders/>
  <w:drawingGridHorizontalSpacing w:val="110"/>
  <w:displayHorizontalDrawingGridEvery w:val="2"/>
  <w:characterSpacingControl w:val="doNotCompress"/>
  <w:hdrShapeDefaults>
    <o:shapedefaults v:ext="edit" spidmax="24577">
      <o:colormru v:ext="edit" colors="#d4eee9,#6fc7b7,#32809c,#da6c28,#d6d9e1,#72d9e1,#c2d9e1,#bdafad"/>
    </o:shapedefaults>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A3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47F27"/>
    <w:rsid w:val="00050A22"/>
    <w:rsid w:val="00050E27"/>
    <w:rsid w:val="0005144F"/>
    <w:rsid w:val="00051AF1"/>
    <w:rsid w:val="00051D42"/>
    <w:rsid w:val="0005261E"/>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2E60"/>
    <w:rsid w:val="000B36F9"/>
    <w:rsid w:val="000B4074"/>
    <w:rsid w:val="000B4732"/>
    <w:rsid w:val="000B4BCD"/>
    <w:rsid w:val="000B66DC"/>
    <w:rsid w:val="000B6D1F"/>
    <w:rsid w:val="000C062F"/>
    <w:rsid w:val="000C17E7"/>
    <w:rsid w:val="000C3270"/>
    <w:rsid w:val="000C577E"/>
    <w:rsid w:val="000C58F6"/>
    <w:rsid w:val="000C7CE8"/>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08C"/>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9BB"/>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2AA9"/>
    <w:rsid w:val="00133E73"/>
    <w:rsid w:val="00133FDB"/>
    <w:rsid w:val="00134EE9"/>
    <w:rsid w:val="00134F4A"/>
    <w:rsid w:val="00135E4E"/>
    <w:rsid w:val="00136246"/>
    <w:rsid w:val="001364D4"/>
    <w:rsid w:val="001371C8"/>
    <w:rsid w:val="001372ED"/>
    <w:rsid w:val="00142B50"/>
    <w:rsid w:val="00143873"/>
    <w:rsid w:val="001439E9"/>
    <w:rsid w:val="00143C55"/>
    <w:rsid w:val="00144C6F"/>
    <w:rsid w:val="00145089"/>
    <w:rsid w:val="001451E7"/>
    <w:rsid w:val="00145F88"/>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C60"/>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2E9"/>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520"/>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A82"/>
    <w:rsid w:val="00214EA2"/>
    <w:rsid w:val="00215994"/>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07F1"/>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67D5"/>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26265"/>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5E1B"/>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6F66"/>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46EC"/>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4251"/>
    <w:rsid w:val="00415531"/>
    <w:rsid w:val="00416330"/>
    <w:rsid w:val="004176C7"/>
    <w:rsid w:val="00417877"/>
    <w:rsid w:val="00417D9F"/>
    <w:rsid w:val="00420229"/>
    <w:rsid w:val="00420DBA"/>
    <w:rsid w:val="00421311"/>
    <w:rsid w:val="004217A4"/>
    <w:rsid w:val="00422B3A"/>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1CB8"/>
    <w:rsid w:val="004327E6"/>
    <w:rsid w:val="004329DC"/>
    <w:rsid w:val="00432AC6"/>
    <w:rsid w:val="00432E84"/>
    <w:rsid w:val="00434C5E"/>
    <w:rsid w:val="00435765"/>
    <w:rsid w:val="004360B6"/>
    <w:rsid w:val="004362E5"/>
    <w:rsid w:val="00436356"/>
    <w:rsid w:val="00440722"/>
    <w:rsid w:val="004418D7"/>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4FF"/>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18E2"/>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474"/>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B3"/>
    <w:rsid w:val="004F64EB"/>
    <w:rsid w:val="004F7A74"/>
    <w:rsid w:val="00500250"/>
    <w:rsid w:val="00500264"/>
    <w:rsid w:val="00500824"/>
    <w:rsid w:val="00500DAB"/>
    <w:rsid w:val="00501144"/>
    <w:rsid w:val="005013EF"/>
    <w:rsid w:val="005019E0"/>
    <w:rsid w:val="0050211F"/>
    <w:rsid w:val="005022E7"/>
    <w:rsid w:val="00502A93"/>
    <w:rsid w:val="00503F27"/>
    <w:rsid w:val="00506083"/>
    <w:rsid w:val="005068D6"/>
    <w:rsid w:val="00506B86"/>
    <w:rsid w:val="00506EEC"/>
    <w:rsid w:val="00506FD4"/>
    <w:rsid w:val="005107FF"/>
    <w:rsid w:val="00510CBC"/>
    <w:rsid w:val="0051102D"/>
    <w:rsid w:val="005111F8"/>
    <w:rsid w:val="005112A5"/>
    <w:rsid w:val="00511F48"/>
    <w:rsid w:val="00512448"/>
    <w:rsid w:val="0051253A"/>
    <w:rsid w:val="0051266C"/>
    <w:rsid w:val="00513B72"/>
    <w:rsid w:val="00515277"/>
    <w:rsid w:val="005158C2"/>
    <w:rsid w:val="005169DE"/>
    <w:rsid w:val="0051754D"/>
    <w:rsid w:val="0051785D"/>
    <w:rsid w:val="00517913"/>
    <w:rsid w:val="0052005F"/>
    <w:rsid w:val="00520200"/>
    <w:rsid w:val="0052058C"/>
    <w:rsid w:val="00520E2D"/>
    <w:rsid w:val="00520F04"/>
    <w:rsid w:val="00521717"/>
    <w:rsid w:val="005224B2"/>
    <w:rsid w:val="00523B23"/>
    <w:rsid w:val="00523DFA"/>
    <w:rsid w:val="005254BC"/>
    <w:rsid w:val="005256FC"/>
    <w:rsid w:val="0052630D"/>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287F"/>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37C"/>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A33"/>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07B"/>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0E77"/>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4F8E"/>
    <w:rsid w:val="00625304"/>
    <w:rsid w:val="0062581B"/>
    <w:rsid w:val="006261F4"/>
    <w:rsid w:val="0063164E"/>
    <w:rsid w:val="0063191D"/>
    <w:rsid w:val="00633167"/>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0C3C"/>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7743D"/>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0E80"/>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465"/>
    <w:rsid w:val="006B3AF9"/>
    <w:rsid w:val="006B44C5"/>
    <w:rsid w:val="006B555F"/>
    <w:rsid w:val="006B6242"/>
    <w:rsid w:val="006B6C7C"/>
    <w:rsid w:val="006B6EA4"/>
    <w:rsid w:val="006B77BB"/>
    <w:rsid w:val="006B7F8F"/>
    <w:rsid w:val="006B7FC5"/>
    <w:rsid w:val="006C055E"/>
    <w:rsid w:val="006C0960"/>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0AAC"/>
    <w:rsid w:val="006D105C"/>
    <w:rsid w:val="006D30E7"/>
    <w:rsid w:val="006D48A9"/>
    <w:rsid w:val="006D48E7"/>
    <w:rsid w:val="006D4947"/>
    <w:rsid w:val="006D5194"/>
    <w:rsid w:val="006D5F16"/>
    <w:rsid w:val="006D63AD"/>
    <w:rsid w:val="006D6764"/>
    <w:rsid w:val="006D67D9"/>
    <w:rsid w:val="006D6C93"/>
    <w:rsid w:val="006D7573"/>
    <w:rsid w:val="006E0340"/>
    <w:rsid w:val="006E06F9"/>
    <w:rsid w:val="006E07A9"/>
    <w:rsid w:val="006E0D91"/>
    <w:rsid w:val="006E1706"/>
    <w:rsid w:val="006E2595"/>
    <w:rsid w:val="006E3CB2"/>
    <w:rsid w:val="006E3DA8"/>
    <w:rsid w:val="006E5DAA"/>
    <w:rsid w:val="006E7006"/>
    <w:rsid w:val="006F00E7"/>
    <w:rsid w:val="006F0F6E"/>
    <w:rsid w:val="006F1B22"/>
    <w:rsid w:val="006F1BA4"/>
    <w:rsid w:val="006F2259"/>
    <w:rsid w:val="006F23E1"/>
    <w:rsid w:val="006F2968"/>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9D8"/>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057D"/>
    <w:rsid w:val="00741BA2"/>
    <w:rsid w:val="00741CF4"/>
    <w:rsid w:val="00741DCC"/>
    <w:rsid w:val="00741DE2"/>
    <w:rsid w:val="007421A1"/>
    <w:rsid w:val="007427FE"/>
    <w:rsid w:val="00742C51"/>
    <w:rsid w:val="00742E52"/>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B7B"/>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3D6"/>
    <w:rsid w:val="0078254E"/>
    <w:rsid w:val="00782628"/>
    <w:rsid w:val="007826AB"/>
    <w:rsid w:val="007840E2"/>
    <w:rsid w:val="0078423D"/>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98C"/>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A7843"/>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3F17"/>
    <w:rsid w:val="007C4F27"/>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D6D"/>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3ADE"/>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278F3"/>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09E"/>
    <w:rsid w:val="0084184A"/>
    <w:rsid w:val="008423F2"/>
    <w:rsid w:val="00842A30"/>
    <w:rsid w:val="00842B4C"/>
    <w:rsid w:val="00842F71"/>
    <w:rsid w:val="00843179"/>
    <w:rsid w:val="0084386A"/>
    <w:rsid w:val="00843DAF"/>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0A"/>
    <w:rsid w:val="00851728"/>
    <w:rsid w:val="00851DFF"/>
    <w:rsid w:val="00853084"/>
    <w:rsid w:val="00853142"/>
    <w:rsid w:val="008540A6"/>
    <w:rsid w:val="00854420"/>
    <w:rsid w:val="00854481"/>
    <w:rsid w:val="00856A1C"/>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B7517"/>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1E81"/>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9ED"/>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E46"/>
    <w:rsid w:val="009A3FD0"/>
    <w:rsid w:val="009A51C7"/>
    <w:rsid w:val="009A59EC"/>
    <w:rsid w:val="009A5C56"/>
    <w:rsid w:val="009A5CA8"/>
    <w:rsid w:val="009A6ED0"/>
    <w:rsid w:val="009A7012"/>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9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424"/>
    <w:rsid w:val="00A637A0"/>
    <w:rsid w:val="00A63ECD"/>
    <w:rsid w:val="00A64093"/>
    <w:rsid w:val="00A640EB"/>
    <w:rsid w:val="00A64815"/>
    <w:rsid w:val="00A65043"/>
    <w:rsid w:val="00A66DF9"/>
    <w:rsid w:val="00A704E4"/>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EA4"/>
    <w:rsid w:val="00A86F33"/>
    <w:rsid w:val="00A87A95"/>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6FB8"/>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9BA"/>
    <w:rsid w:val="00BB4BCD"/>
    <w:rsid w:val="00BB4F46"/>
    <w:rsid w:val="00BB56C7"/>
    <w:rsid w:val="00BB5B62"/>
    <w:rsid w:val="00BB6502"/>
    <w:rsid w:val="00BB6BCD"/>
    <w:rsid w:val="00BB70F9"/>
    <w:rsid w:val="00BB739C"/>
    <w:rsid w:val="00BB745F"/>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2317"/>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D8E"/>
    <w:rsid w:val="00C22525"/>
    <w:rsid w:val="00C23DBB"/>
    <w:rsid w:val="00C23FE1"/>
    <w:rsid w:val="00C2410D"/>
    <w:rsid w:val="00C24491"/>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570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3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EB6"/>
    <w:rsid w:val="00C76F81"/>
    <w:rsid w:val="00C776A4"/>
    <w:rsid w:val="00C800DD"/>
    <w:rsid w:val="00C80920"/>
    <w:rsid w:val="00C80B03"/>
    <w:rsid w:val="00C8243F"/>
    <w:rsid w:val="00C8289B"/>
    <w:rsid w:val="00C82D54"/>
    <w:rsid w:val="00C82F3B"/>
    <w:rsid w:val="00C837C4"/>
    <w:rsid w:val="00C83829"/>
    <w:rsid w:val="00C838D2"/>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19E2"/>
    <w:rsid w:val="00CA283D"/>
    <w:rsid w:val="00CA29D1"/>
    <w:rsid w:val="00CA2DD6"/>
    <w:rsid w:val="00CA3247"/>
    <w:rsid w:val="00CA3752"/>
    <w:rsid w:val="00CA3999"/>
    <w:rsid w:val="00CA39C0"/>
    <w:rsid w:val="00CA5AD3"/>
    <w:rsid w:val="00CA62DD"/>
    <w:rsid w:val="00CA69BA"/>
    <w:rsid w:val="00CA6ABD"/>
    <w:rsid w:val="00CA7DE6"/>
    <w:rsid w:val="00CB0339"/>
    <w:rsid w:val="00CB110E"/>
    <w:rsid w:val="00CB11F8"/>
    <w:rsid w:val="00CB225B"/>
    <w:rsid w:val="00CB2EF5"/>
    <w:rsid w:val="00CB33E4"/>
    <w:rsid w:val="00CB4230"/>
    <w:rsid w:val="00CB431B"/>
    <w:rsid w:val="00CB4A5C"/>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711F"/>
    <w:rsid w:val="00CD74A7"/>
    <w:rsid w:val="00CD79B2"/>
    <w:rsid w:val="00CE0F26"/>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114"/>
    <w:rsid w:val="00D05892"/>
    <w:rsid w:val="00D06824"/>
    <w:rsid w:val="00D06C03"/>
    <w:rsid w:val="00D1037A"/>
    <w:rsid w:val="00D10B49"/>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4E6"/>
    <w:rsid w:val="00D23CBB"/>
    <w:rsid w:val="00D25806"/>
    <w:rsid w:val="00D25E9D"/>
    <w:rsid w:val="00D25F1C"/>
    <w:rsid w:val="00D26DE6"/>
    <w:rsid w:val="00D26EE7"/>
    <w:rsid w:val="00D30718"/>
    <w:rsid w:val="00D30AC3"/>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21C"/>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61"/>
    <w:rsid w:val="00D83489"/>
    <w:rsid w:val="00D83D13"/>
    <w:rsid w:val="00D841AC"/>
    <w:rsid w:val="00D8522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0DE"/>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2DD6"/>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1F89"/>
    <w:rsid w:val="00E5210B"/>
    <w:rsid w:val="00E53631"/>
    <w:rsid w:val="00E5388F"/>
    <w:rsid w:val="00E54239"/>
    <w:rsid w:val="00E54272"/>
    <w:rsid w:val="00E542BC"/>
    <w:rsid w:val="00E54521"/>
    <w:rsid w:val="00E54617"/>
    <w:rsid w:val="00E5484B"/>
    <w:rsid w:val="00E55E45"/>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0A6"/>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636"/>
    <w:rsid w:val="00E95D82"/>
    <w:rsid w:val="00E95F21"/>
    <w:rsid w:val="00E96273"/>
    <w:rsid w:val="00E96E97"/>
    <w:rsid w:val="00E97096"/>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5D77"/>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613"/>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393"/>
    <w:rsid w:val="00F037E3"/>
    <w:rsid w:val="00F03FF2"/>
    <w:rsid w:val="00F04F9E"/>
    <w:rsid w:val="00F05553"/>
    <w:rsid w:val="00F05BFE"/>
    <w:rsid w:val="00F062E4"/>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5966"/>
    <w:rsid w:val="00F26004"/>
    <w:rsid w:val="00F270E8"/>
    <w:rsid w:val="00F27EF5"/>
    <w:rsid w:val="00F27FDB"/>
    <w:rsid w:val="00F30251"/>
    <w:rsid w:val="00F305CC"/>
    <w:rsid w:val="00F3179A"/>
    <w:rsid w:val="00F31D54"/>
    <w:rsid w:val="00F32357"/>
    <w:rsid w:val="00F32C70"/>
    <w:rsid w:val="00F34CDA"/>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777"/>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8D0"/>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440A"/>
    <w:rsid w:val="00F94683"/>
    <w:rsid w:val="00F95DD6"/>
    <w:rsid w:val="00F96370"/>
    <w:rsid w:val="00F9772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96A"/>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1B9B"/>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d4eee9,#6fc7b7,#32809c,#da6c28,#d6d9e1,#72d9e1,#c2d9e1,#bdafad"/>
    </o:shapedefaults>
    <o:shapelayout v:ext="edit">
      <o:idmap v:ext="edit" data="1"/>
    </o:shapelayout>
  </w:shapeDefaults>
  <w:decimalSymbol w:val="."/>
  <w:listSeparator w:val=","/>
  <w14:docId w14:val="3B0C95CE"/>
  <w15:docId w15:val="{079094A7-696F-4CA2-AAC8-748BFB4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51754D"/>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Style2">
    <w:name w:val="Style2"/>
    <w:uiPriority w:val="99"/>
    <w:rsid w:val="008E0688"/>
    <w:pPr>
      <w:numPr>
        <w:numId w:val="19"/>
      </w:numPr>
    </w:pPr>
  </w:style>
  <w:style w:type="paragraph" w:customStyle="1" w:styleId="Greenbullet-casestudytables">
    <w:name w:val="Green bullet - case study tables"/>
    <w:basedOn w:val="Greentext-casestudytables"/>
    <w:uiPriority w:val="1"/>
    <w:rsid w:val="00C15722"/>
    <w:pPr>
      <w:numPr>
        <w:numId w:val="3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3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36"/>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37"/>
      </w:numPr>
      <w:spacing w:before="0"/>
      <w:ind w:left="1077" w:hanging="397"/>
    </w:pPr>
  </w:style>
  <w:style w:type="paragraph" w:styleId="CommentText">
    <w:name w:val="annotation text"/>
    <w:basedOn w:val="Normal"/>
    <w:link w:val="CommentTextChar"/>
    <w:uiPriority w:val="99"/>
    <w:semiHidden/>
    <w:rsid w:val="009A3E46"/>
    <w:pPr>
      <w:spacing w:line="240" w:lineRule="auto"/>
    </w:pPr>
    <w:rPr>
      <w:sz w:val="20"/>
      <w:szCs w:val="20"/>
    </w:rPr>
  </w:style>
  <w:style w:type="character" w:customStyle="1" w:styleId="CommentTextChar">
    <w:name w:val="Comment Text Char"/>
    <w:basedOn w:val="DefaultParagraphFont"/>
    <w:link w:val="CommentText"/>
    <w:uiPriority w:val="99"/>
    <w:semiHidden/>
    <w:rsid w:val="009A3E46"/>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yperlink" Target="http://www.mfe.govt.nz/publications/land-hazards/contaminated-land-management-guidelines-no-1-reporting-contaminated-site-1" TargetMode="Externa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www.mfe.govt.nz/publications/land-hazards/contaminated-land-management-guidelines-no-2-hierarchy-and-application-new" TargetMode="External"/><Relationship Id="rId34" Type="http://schemas.openxmlformats.org/officeDocument/2006/relationships/hyperlink" Target="https://www.ird.govt.nz/business-income-tax/expenses/environmental/bit-exp-env-deductionrates.html"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yperlink" Target="http://www.mfe.govt.nz/sites/default/files/media/Hazards/Tonkin&amp;Taylor%20Non%20foam%20PFAS%20sources%20-%20FINAL.pdf" TargetMode="External"/><Relationship Id="rId33" Type="http://schemas.openxmlformats.org/officeDocument/2006/relationships/hyperlink" Target="http://www.mfe.govt.nz/more/funding/contaminated-sites-remediation-fund/about-fund"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mfe.govt.nz/land/risks-contaminated-land/managing-contaminated-land/contaminated-land-management-guidelines" TargetMode="External"/><Relationship Id="rId29" Type="http://schemas.openxmlformats.org/officeDocument/2006/relationships/hyperlink" Target="http://www.mfe.govt.nz/fresh-water/freshwater-acts-and-regulations/national-environmental-standards/national-environmenta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hyperlink" Target="http://www.mfe.govt.nz/publications/land-hazards/contaminated-land-management-guidelines-no-4-classification-and" TargetMode="External"/><Relationship Id="rId32" Type="http://schemas.openxmlformats.org/officeDocument/2006/relationships/hyperlink" Target="http://www.mfe.govt.nz/sites/default/files/media/Land/Roles%20and%20responsibilities%20dd%2026%20July%202018.pdf" TargetMode="External"/><Relationship Id="rId37" Type="http://schemas.openxmlformats.org/officeDocument/2006/relationships/hyperlink" Target="http://www.mfe.govt.nz/sites/default/files/media/Hazards/HEPA-PFAS-NEMP-FINAL-January-2018.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mfe.govt.nz/land/hazardous-activities-and-industries-list-hail" TargetMode="External"/><Relationship Id="rId28" Type="http://schemas.openxmlformats.org/officeDocument/2006/relationships/hyperlink" Target="http://www.mfe.govt.nz/publications/land-hazards/contaminated-land-management-guidelines-no-5-site-investigation-and-0" TargetMode="External"/><Relationship Id="rId36" Type="http://schemas.openxmlformats.org/officeDocument/2006/relationships/hyperlink" Target="http://www.mfe.govt.nz/land/pfas-and-poly-fluoroalkyl-substances" TargetMode="External"/><Relationship Id="rId10" Type="http://schemas.openxmlformats.org/officeDocument/2006/relationships/footer" Target="footer1.xml"/><Relationship Id="rId19" Type="http://schemas.openxmlformats.org/officeDocument/2006/relationships/hyperlink" Target="http://www.mfe.govt.nz/land/nes-assessing-and-managing-contaminants-soil-protect-human-health/about-nes" TargetMode="External"/><Relationship Id="rId31" Type="http://schemas.openxmlformats.org/officeDocument/2006/relationships/hyperlink" Target="http://www.nems.org.nz/docum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www.mfe.govt.nz/publications/hazards/methodology-deriving-standards-contaminants-soil-protect-human-health" TargetMode="External"/><Relationship Id="rId27" Type="http://schemas.openxmlformats.org/officeDocument/2006/relationships/hyperlink" Target="http://www.mfe.govt.nz/publications/land-hazards/contaminated-land-management-guidelines-no-3-risk-screening-system" TargetMode="External"/><Relationship Id="rId30" Type="http://schemas.openxmlformats.org/officeDocument/2006/relationships/hyperlink" Target="http://www.mfe.govt.nz/rma/compliance-monitoring-and-enforcement" TargetMode="External"/><Relationship Id="rId35" Type="http://schemas.openxmlformats.org/officeDocument/2006/relationships/hyperlink" Target="http://www.mfe.govt.nz/sites/default/files/media/Land/engagement-communication-information-sharing-guidanc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6714A-E50D-4661-89A2-0ED64EF38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2</TotalTime>
  <Pages>21</Pages>
  <Words>5857</Words>
  <Characters>33386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Dee Warring</cp:lastModifiedBy>
  <cp:revision>3</cp:revision>
  <cp:lastPrinted>2019-04-29T03:57:00Z</cp:lastPrinted>
  <dcterms:created xsi:type="dcterms:W3CDTF">2020-06-29T01:24:00Z</dcterms:created>
  <dcterms:modified xsi:type="dcterms:W3CDTF">2020-06-30T23:04:00Z</dcterms:modified>
</cp:coreProperties>
</file>